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50"/>
            </w:tabs>
            <w:spacing w:before="12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color w:val="000000"/>
                <w:rtl w:val="0"/>
              </w:rPr>
              <w:t xml:space="preserve">CONTROL DE CAMBIOS</w:t>
            </w:r>
          </w:hyperlink>
          <w:hyperlink w:anchor="_heading=h.gjdgxs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1. 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2. 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3. 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TÉRMINOS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4. RECOMENDACIONES GENERALES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5. 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Style w:val="Heading1"/>
        <w:widowControl w:val="1"/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7/8/2023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397" w:right="0" w:firstLine="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Indicar los pasos a seguir para solicitar contratos de un agente con National Life, así como también completar la información del contrato en Salesforce. </w:t>
      </w:r>
    </w:p>
    <w:p w:rsidR="00000000" w:rsidDel="00000000" w:rsidP="00000000" w:rsidRDefault="00000000" w:rsidRPr="00000000" w14:paraId="0000001B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znysh7" w:id="4"/>
      <w:bookmarkEnd w:id="4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TÉRMINOS Y DEFINICIONES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397" w:right="0" w:firstLine="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397" w:right="0" w:firstLine="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397" w:right="0" w:firstLine="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397" w:right="0" w:firstLine="0"/>
        <w:jc w:val="both"/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397" w:right="0" w:firstLine="0"/>
        <w:jc w:val="both"/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Opportunities:</w:t>
      </w:r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Agente que da una respuesta positiva es tipificado y el registro pasa al objeto opportunities, este aplica a contratarse.</w:t>
      </w: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tyjcwt" w:id="6"/>
      <w:bookmarkEnd w:id="6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RECOMENDACIONES GENERALES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No Aplica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dy6vkm" w:id="7"/>
      <w:bookmarkEnd w:id="7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DESCRIPCIÓN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139700</wp:posOffset>
                </wp:positionV>
                <wp:extent cx="389890" cy="188595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139700</wp:posOffset>
                </wp:positionV>
                <wp:extent cx="389890" cy="188595"/>
                <wp:effectExtent b="0" l="0" r="0" t="0"/>
                <wp:wrapNone/>
                <wp:docPr id="8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890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0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482600</wp:posOffset>
                </wp:positionV>
                <wp:extent cx="410210" cy="135890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482600</wp:posOffset>
                </wp:positionV>
                <wp:extent cx="410210" cy="135890"/>
                <wp:effectExtent b="0" l="0" r="0" t="0"/>
                <wp:wrapNone/>
                <wp:docPr id="8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0210" cy="135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215900</wp:posOffset>
                </wp:positionV>
                <wp:extent cx="865654" cy="161925"/>
                <wp:effectExtent b="0" l="0" r="0" t="0"/>
                <wp:wrapNone/>
                <wp:docPr id="9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215900</wp:posOffset>
                </wp:positionV>
                <wp:extent cx="865654" cy="161925"/>
                <wp:effectExtent b="0" l="0" r="0" t="0"/>
                <wp:wrapNone/>
                <wp:docPr id="9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5654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Hacer click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Started Contracting Opps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National Life.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(4) Seleccionar la opp.</w:t>
        <w:br w:type="textWrapping"/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010977" cy="3033867"/>
            <wp:effectExtent b="0" l="0" r="0" t="0"/>
            <wp:docPr id="9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977" cy="3033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2.  Enviar correo a </w:t>
      </w:r>
      <w:hyperlink r:id="rId12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Carolyn Singletary</w:t>
        </w:r>
      </w:hyperlink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</w:t>
      </w:r>
      <w:hyperlink r:id="rId13">
        <w:r w:rsidDel="00000000" w:rsidR="00000000" w:rsidRPr="00000000">
          <w:rPr>
            <w:rFonts w:ascii="Roboto" w:cs="Roboto" w:eastAsia="Roboto" w:hAnsi="Roboto"/>
            <w:color w:val="0000ff"/>
            <w:sz w:val="21"/>
            <w:szCs w:val="21"/>
            <w:highlight w:val="white"/>
            <w:u w:val="single"/>
            <w:rtl w:val="0"/>
          </w:rPr>
          <w:t xml:space="preserve">Carolyn@ima-livingbenefits.com</w:t>
        </w:r>
      </w:hyperlink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), usar como referencia: </w:t>
      </w: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  <w:rtl w:val="0"/>
        </w:rPr>
        <w:t xml:space="preserve">Contract Request: Jessika Leon Gonzalez- NLG.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666666"/>
          <w:sz w:val="23"/>
          <w:szCs w:val="23"/>
          <w:shd w:fill="f6f9fc" w:val="clear"/>
        </w:rPr>
      </w:pP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</w:rPr>
        <w:drawing>
          <wp:inline distB="114300" distT="114300" distL="114300" distR="114300">
            <wp:extent cx="5220652" cy="2771264"/>
            <wp:effectExtent b="0" l="0" r="0" t="0"/>
            <wp:docPr id="10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652" cy="2771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  <w:rtl w:val="0"/>
        </w:rPr>
        <w:br w:type="textWrapping"/>
        <w:br w:type="textWrapping"/>
        <w:t xml:space="preserve">NOTA: Tener en cuenta que se debe solicitar bajo la jerarquía correcta (revisar a qué agencia pertenece), las jerarquías existentes para NLG son: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23"/>
          <w:szCs w:val="23"/>
          <w:shd w:fill="f6f9fc" w:val="clear"/>
          <w:rtl w:val="0"/>
        </w:rPr>
        <w:t xml:space="preserve">Jerarquías comisiones: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666666"/>
          <w:sz w:val="23"/>
          <w:szCs w:val="23"/>
          <w:shd w:fill="f6f9fc" w:val="clear"/>
        </w:rPr>
      </w:pPr>
      <w:r w:rsidDel="00000000" w:rsidR="00000000" w:rsidRPr="00000000">
        <w:rPr>
          <w:rFonts w:ascii="Arial" w:cs="Arial" w:eastAsia="Arial" w:hAnsi="Arial"/>
          <w:color w:val="666666"/>
          <w:sz w:val="23"/>
          <w:szCs w:val="23"/>
          <w:shd w:fill="f6f9fc" w:val="clear"/>
          <w:rtl w:val="0"/>
        </w:rPr>
        <w:t xml:space="preserve">Commission rate:  75% under Luisa Alvarez hierarchy. (Prestige) 2859M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666666"/>
          <w:sz w:val="23"/>
          <w:szCs w:val="23"/>
          <w:shd w:fill="f6f9fc" w:val="clear"/>
        </w:rPr>
      </w:pPr>
      <w:r w:rsidDel="00000000" w:rsidR="00000000" w:rsidRPr="00000000">
        <w:rPr>
          <w:rFonts w:ascii="Arial" w:cs="Arial" w:eastAsia="Arial" w:hAnsi="Arial"/>
          <w:color w:val="666666"/>
          <w:sz w:val="23"/>
          <w:szCs w:val="23"/>
          <w:shd w:fill="f6f9fc" w:val="clear"/>
          <w:rtl w:val="0"/>
        </w:rPr>
        <w:t xml:space="preserve">Commission rate: under 2Easy Insurance's hierarchy (Renato dos Santos Pereira) 5565T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666666"/>
          <w:sz w:val="23"/>
          <w:szCs w:val="23"/>
          <w:shd w:fill="f6f9fc" w:val="clear"/>
        </w:rPr>
      </w:pPr>
      <w:r w:rsidDel="00000000" w:rsidR="00000000" w:rsidRPr="00000000">
        <w:rPr>
          <w:rFonts w:ascii="Arial" w:cs="Arial" w:eastAsia="Arial" w:hAnsi="Arial"/>
          <w:color w:val="666666"/>
          <w:sz w:val="23"/>
          <w:szCs w:val="23"/>
          <w:shd w:fill="f6f9fc" w:val="clear"/>
          <w:rtl w:val="0"/>
        </w:rPr>
        <w:t xml:space="preserve">Commission rate:  80% Under Alexandra Cruz's hierarchy. (comfort) 0009R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666666"/>
          <w:sz w:val="23"/>
          <w:szCs w:val="23"/>
          <w:shd w:fill="f6f9fc" w:val="clear"/>
          <w:rtl w:val="0"/>
        </w:rPr>
        <w:t xml:space="preserve">Commission rate:  70% Under Mariela Gari's hierarchy. (solutions advisor) 7066P</w:t>
        <w:br w:type="textWrapping"/>
        <w:br w:type="textWrapping"/>
        <w:t xml:space="preserve">♦ Para los agentes de otras agencias y/o Claro Insurance no hay necesidad de especificar, simplemente se envía el porcentaje.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  <w:rtl w:val="0"/>
        </w:rPr>
        <w:br w:type="textWrapping"/>
        <w:br w:type="textWrapping"/>
        <w:br w:type="textWrapping"/>
        <w:br w:type="textWrapping"/>
        <w:br w:type="textWrapping"/>
        <w:t xml:space="preserve">3.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Los datos necesarios como el porcentaje de comisión, deben estar en la oportunidad: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</w:rPr>
        <w:drawing>
          <wp:inline distB="114300" distT="114300" distL="114300" distR="114300">
            <wp:extent cx="2399348" cy="2817012"/>
            <wp:effectExtent b="0" l="0" r="0" t="0"/>
            <wp:docPr id="9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9348" cy="281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  <w:rtl w:val="0"/>
        </w:rPr>
        <w:t xml:space="preserve">4. Dejar la oportunidad en Pending - Carrier link to be send y al recibir la confirmación de Carolyn cambiarla a Pending - On agent side.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</w:rPr>
        <w:drawing>
          <wp:inline distB="114300" distT="114300" distL="114300" distR="114300">
            <wp:extent cx="3943350" cy="1609725"/>
            <wp:effectExtent b="0" l="0" r="0" t="0"/>
            <wp:docPr id="9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0" distT="0" distL="0" distR="0">
            <wp:extent cx="4437698" cy="1688378"/>
            <wp:effectExtent b="0" l="0" r="0" t="0"/>
            <wp:docPr id="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7698" cy="1688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1" w:line="276" w:lineRule="auto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10.  Una vez aprobado, se podrá convertir la opp, y se debe validar el el Ready to Sell report que se le solicita al carrier, para así asegurar  la completa activación del contrato.</w:t>
      </w:r>
    </w:p>
    <w:p w:rsidR="00000000" w:rsidDel="00000000" w:rsidP="00000000" w:rsidRDefault="00000000" w:rsidRPr="00000000" w14:paraId="00000050">
      <w:pPr>
        <w:spacing w:before="11" w:line="276" w:lineRule="auto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7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096902" cy="904065"/>
            <wp:effectExtent b="0" l="0" r="0" t="0"/>
            <wp:docPr id="9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28138" l="0" r="0" t="23178"/>
                    <a:stretch>
                      <a:fillRect/>
                    </a:stretch>
                  </pic:blipFill>
                  <pic:spPr>
                    <a:xfrm>
                      <a:off x="0" y="0"/>
                      <a:ext cx="4096902" cy="904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7" w:lineRule="auto"/>
        <w:ind w:left="117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Esto automáticamente generará un nuevo contrato desde esta pestaña: </w:t>
      </w:r>
    </w:p>
    <w:p w:rsidR="00000000" w:rsidDel="00000000" w:rsidP="00000000" w:rsidRDefault="00000000" w:rsidRPr="00000000" w14:paraId="00000055">
      <w:pPr>
        <w:spacing w:before="7" w:lineRule="auto"/>
        <w:ind w:left="720" w:firstLine="72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1307701" cy="244043"/>
            <wp:effectExtent b="0" l="0" r="0" t="0"/>
            <wp:docPr id="10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701" cy="244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6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11. Ingresar a esta pestaña, hacer click en el contrato generado y completar la siguiente información como:</w:t>
      </w:r>
    </w:p>
    <w:p w:rsidR="00000000" w:rsidDel="00000000" w:rsidP="00000000" w:rsidRDefault="00000000" w:rsidRPr="00000000" w14:paraId="00000057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-Writing number (El carrier nos lo proporciona)</w:t>
      </w:r>
    </w:p>
    <w:p w:rsidR="00000000" w:rsidDel="00000000" w:rsidP="00000000" w:rsidRDefault="00000000" w:rsidRPr="00000000" w14:paraId="00000058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-Commission type: Advance (En el caso de que sea un contrato de LIFE)</w:t>
      </w:r>
    </w:p>
    <w:p w:rsidR="00000000" w:rsidDel="00000000" w:rsidP="00000000" w:rsidRDefault="00000000" w:rsidRPr="00000000" w14:paraId="00000059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-Contract approval date: Se puede visualizar directamente desde la plataforma.</w:t>
      </w:r>
    </w:p>
    <w:p w:rsidR="00000000" w:rsidDel="00000000" w:rsidP="00000000" w:rsidRDefault="00000000" w:rsidRPr="00000000" w14:paraId="0000005A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258613</wp:posOffset>
            </wp:positionV>
            <wp:extent cx="3914775" cy="1194401"/>
            <wp:effectExtent b="0" l="0" r="0" t="0"/>
            <wp:wrapNone/>
            <wp:docPr id="9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1231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1944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024"/>
          <w:tab w:val="left" w:leader="none" w:pos="1101"/>
          <w:tab w:val="left" w:leader="none" w:pos="1193"/>
          <w:tab w:val="left" w:leader="none" w:pos="1405"/>
          <w:tab w:val="left" w:leader="none" w:pos="1553"/>
        </w:tabs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024"/>
          <w:tab w:val="left" w:leader="none" w:pos="1101"/>
          <w:tab w:val="left" w:leader="none" w:pos="1193"/>
          <w:tab w:val="left" w:leader="none" w:pos="1405"/>
          <w:tab w:val="left" w:leader="none" w:pos="1553"/>
        </w:tabs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          Con este paso finaliza el proceso de contratación.</w:t>
      </w:r>
    </w:p>
    <w:p w:rsidR="00000000" w:rsidDel="00000000" w:rsidP="00000000" w:rsidRDefault="00000000" w:rsidRPr="00000000" w14:paraId="00000065">
      <w:pPr>
        <w:tabs>
          <w:tab w:val="left" w:leader="none" w:pos="1024"/>
          <w:tab w:val="left" w:leader="none" w:pos="1101"/>
          <w:tab w:val="left" w:leader="none" w:pos="1193"/>
          <w:tab w:val="left" w:leader="none" w:pos="1405"/>
          <w:tab w:val="left" w:leader="none" w:pos="1553"/>
        </w:tabs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024"/>
          <w:tab w:val="left" w:leader="none" w:pos="1101"/>
          <w:tab w:val="left" w:leader="none" w:pos="1193"/>
          <w:tab w:val="left" w:leader="none" w:pos="1405"/>
          <w:tab w:val="left" w:leader="none" w:pos="1553"/>
        </w:tabs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7">
      <w:pPr>
        <w:tabs>
          <w:tab w:val="left" w:leader="none" w:pos="1024"/>
          <w:tab w:val="left" w:leader="none" w:pos="1101"/>
          <w:tab w:val="left" w:leader="none" w:pos="1193"/>
          <w:tab w:val="left" w:leader="none" w:pos="1405"/>
          <w:tab w:val="left" w:leader="none" w:pos="1553"/>
        </w:tabs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024"/>
          <w:tab w:val="left" w:leader="none" w:pos="1101"/>
          <w:tab w:val="left" w:leader="none" w:pos="1193"/>
          <w:tab w:val="left" w:leader="none" w:pos="1405"/>
          <w:tab w:val="left" w:leader="none" w:pos="1553"/>
        </w:tabs>
        <w:jc w:val="center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Proceso de add state</w:t>
      </w:r>
    </w:p>
    <w:p w:rsidR="00000000" w:rsidDel="00000000" w:rsidP="00000000" w:rsidRDefault="00000000" w:rsidRPr="00000000" w14:paraId="00000069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  <w:rtl w:val="0"/>
        </w:rPr>
        <w:t xml:space="preserve">El requisito para que NLG active un contrato en un estado donde el agente no resida, es que este someta su primera póliza en dicho estado.</w:t>
        <w:br w:type="textWrapping"/>
        <w:br w:type="textWrapping"/>
        <w:t xml:space="preserve">Antes que el agente realice su primera venta en un estado non resident, debemos considerar la siguiente tabla, ya que para recibir el override, o full commission, tanto David Martinez, Insurance XL, y el upline directo (en caso tal sea diferente a David M.), deben estar licenciados en los siguientes estados: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</w:rPr>
        <w:drawing>
          <wp:inline distB="114300" distT="114300" distL="114300" distR="114300">
            <wp:extent cx="6332220" cy="3378200"/>
            <wp:effectExtent b="0" l="0" r="0" t="0"/>
            <wp:docPr id="9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160" w:line="259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121212"/>
          <w:sz w:val="23"/>
          <w:szCs w:val="23"/>
          <w:u w:val="single"/>
          <w:rtl w:val="0"/>
        </w:rPr>
        <w:br w:type="textWrapping"/>
        <w:t xml:space="preserve">Si por el contrario, el agente va a vender en un estado que NO aparezca en la lista, sólo el agente debe estar licenciado y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2. La oportunidad en Salesforce de un non resident state se puede convertir cuando el carrier apruebe el contrato en el estado donde el agente resida, y en la parte del contrato donde dice </w:t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Contract Status Details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, agregar una nota que diga </w:t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Pending Sale: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247073" cy="2524706"/>
            <wp:effectExtent b="0" l="0" r="0" t="0"/>
            <wp:docPr id="1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7073" cy="2524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  <w:br w:type="textWrapping"/>
        <w:br w:type="textWrapping"/>
        <w:t xml:space="preserve">3. El carrier nos notificará por correo cuando el agente someta la primera póliza en el non resident state y cualquier otro requerimiento adicional que se necesite para completar el appointment (pagar la tarifa del contrato por ejemplo).</w:t>
        <w:br w:type="textWrapping"/>
        <w:br w:type="textWrapping"/>
      </w:r>
    </w:p>
    <w:sectPr>
      <w:headerReference r:id="rId23" w:type="default"/>
      <w:headerReference r:id="rId24" w:type="first"/>
      <w:headerReference r:id="rId25" w:type="even"/>
      <w:footerReference r:id="rId26" w:type="default"/>
      <w:footerReference r:id="rId27" w:type="first"/>
      <w:footerReference r:id="rId28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erif Pro"/>
  <w:font w:name="Work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317500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8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317500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87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431800</wp:posOffset>
              </wp:positionH>
              <wp:positionV relativeFrom="paragraph">
                <wp:posOffset>9486900</wp:posOffset>
              </wp:positionV>
              <wp:extent cx="5624195" cy="356235"/>
              <wp:effectExtent b="0" l="0" r="0" t="0"/>
              <wp:wrapNone/>
              <wp:docPr id="89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431800</wp:posOffset>
              </wp:positionH>
              <wp:positionV relativeFrom="paragraph">
                <wp:posOffset>9486900</wp:posOffset>
              </wp:positionV>
              <wp:extent cx="5624195" cy="356235"/>
              <wp:effectExtent b="0" l="0" r="0" t="0"/>
              <wp:wrapNone/>
              <wp:docPr id="8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4195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245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30"/>
      <w:gridCol w:w="5310"/>
      <w:gridCol w:w="1185"/>
      <w:gridCol w:w="1320"/>
      <w:tblGridChange w:id="0">
        <w:tblGrid>
          <w:gridCol w:w="2430"/>
          <w:gridCol w:w="5310"/>
          <w:gridCol w:w="1185"/>
          <w:gridCol w:w="132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9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  <w:sz w:val="20"/>
              <w:szCs w:val="20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sz w:val="20"/>
              <w:szCs w:val="20"/>
              <w:rtl w:val="0"/>
            </w:rPr>
            <w:t xml:space="preserve"> Gestión de Contratos con National Life LIFE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76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CM-IN-21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7A">
          <w:pPr>
            <w:jc w:val="center"/>
            <w:rPr>
              <w:rFonts w:ascii="Source Serif Pro" w:cs="Source Serif Pro" w:eastAsia="Source Serif Pro" w:hAnsi="Source Serif Pro"/>
              <w:sz w:val="20"/>
              <w:szCs w:val="20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b3838"/>
              <w:sz w:val="20"/>
              <w:szCs w:val="20"/>
              <w:rtl w:val="0"/>
            </w:rPr>
            <w:t xml:space="preserve">Proceso o Área: Commercial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02/2023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b3838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color w:val="3b383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color w:val="3b3838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color w:val="3b383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-572133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9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  <w:sz w:val="20"/>
              <w:szCs w:val="20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sz w:val="20"/>
              <w:szCs w:val="20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85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9">
          <w:pPr>
            <w:jc w:val="center"/>
            <w:rPr>
              <w:rFonts w:ascii="Source Serif Pro" w:cs="Source Serif Pro" w:eastAsia="Source Serif Pro" w:hAnsi="Source Serif Pro"/>
              <w:sz w:val="20"/>
              <w:szCs w:val="20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b3838"/>
              <w:sz w:val="20"/>
              <w:szCs w:val="20"/>
              <w:rtl w:val="0"/>
            </w:rPr>
            <w:t xml:space="preserve">Proceso o Área: Operaciones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.png"/><Relationship Id="rId21" Type="http://schemas.openxmlformats.org/officeDocument/2006/relationships/image" Target="media/image9.png"/><Relationship Id="rId24" Type="http://schemas.openxmlformats.org/officeDocument/2006/relationships/header" Target="header3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footer" Target="footer3.xml"/><Relationship Id="rId25" Type="http://schemas.openxmlformats.org/officeDocument/2006/relationships/header" Target="header2.xml"/><Relationship Id="rId28" Type="http://schemas.openxmlformats.org/officeDocument/2006/relationships/footer" Target="foot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5.png"/><Relationship Id="rId8" Type="http://schemas.openxmlformats.org/officeDocument/2006/relationships/image" Target="media/image10.png"/><Relationship Id="rId11" Type="http://schemas.openxmlformats.org/officeDocument/2006/relationships/image" Target="media/image12.png"/><Relationship Id="rId10" Type="http://schemas.openxmlformats.org/officeDocument/2006/relationships/image" Target="media/image17.png"/><Relationship Id="rId13" Type="http://schemas.openxmlformats.org/officeDocument/2006/relationships/hyperlink" Target="mailto:Carolyn@ima-livingbenefits.com" TargetMode="External"/><Relationship Id="rId12" Type="http://schemas.openxmlformats.org/officeDocument/2006/relationships/hyperlink" Target="mailto:carolyn@alliancegrouplife.com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19" Type="http://schemas.openxmlformats.org/officeDocument/2006/relationships/image" Target="media/image7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2" Type="http://schemas.openxmlformats.org/officeDocument/2006/relationships/font" Target="fonts/QuattrocentoSans-boldItalic.ttf"/><Relationship Id="rId9" Type="http://schemas.openxmlformats.org/officeDocument/2006/relationships/font" Target="fonts/QuattrocentoSans-regular.ttf"/><Relationship Id="rId5" Type="http://schemas.openxmlformats.org/officeDocument/2006/relationships/font" Target="fonts/WorkSans-regular.ttf"/><Relationship Id="rId6" Type="http://schemas.openxmlformats.org/officeDocument/2006/relationships/font" Target="fonts/WorkSans-bold.ttf"/><Relationship Id="rId7" Type="http://schemas.openxmlformats.org/officeDocument/2006/relationships/font" Target="fonts/WorkSans-italic.ttf"/><Relationship Id="rId8" Type="http://schemas.openxmlformats.org/officeDocument/2006/relationships/font" Target="fonts/WorkSans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z8I+lo4GluL8Pl3I2y5rkFqWIg==">CgMxLjAyCWguMXQzaDVzZjIIaC5namRneHMyCWguMzBqMHpsbDIJaC4xZm9iOXRlMgloLjN6bnlzaDcyCWguMmV0OTJwMDIIaC50eWpjd3QyCWguM2R5NnZrbTgAciExVU5qbk9tNldiWW1DNmFxWjNMd3A2b0g2QS1wQV9rYzM=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