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Work Sans" w:cs="Work Sans" w:eastAsia="Work Sans" w:hAnsi="Work Sans"/>
        </w:rPr>
      </w:pPr>
      <w:bookmarkStart w:colFirst="0" w:colLast="0" w:name="_heading=h.1t3h5s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Source Serif Pro" w:cs="Source Serif Pro" w:eastAsia="Source Serif Pro" w:hAnsi="Source Serif Pro"/>
          <w:b w:val="1"/>
          <w:color w:val="063796"/>
          <w:sz w:val="24"/>
          <w:szCs w:val="24"/>
        </w:rPr>
      </w:pPr>
      <w:r w:rsidDel="00000000" w:rsidR="00000000" w:rsidRPr="00000000">
        <w:rPr>
          <w:rFonts w:ascii="Source Serif Pro" w:cs="Source Serif Pro" w:eastAsia="Source Serif Pro" w:hAnsi="Source Serif Pro"/>
          <w:b w:val="1"/>
          <w:color w:val="063796"/>
          <w:sz w:val="24"/>
          <w:szCs w:val="24"/>
          <w:rtl w:val="0"/>
        </w:rPr>
        <w:t xml:space="preserve">TABLA DE 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tabs>
              <w:tab w:val="right" w:leader="none" w:pos="9972"/>
            </w:tabs>
            <w:spacing w:before="80" w:line="240" w:lineRule="auto"/>
            <w:ind w:left="0" w:firstLine="0"/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rFonts w:ascii="Work Sans" w:cs="Work Sans" w:eastAsia="Work Sans" w:hAnsi="Work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 DE CAMBIOS</w:t>
            </w:r>
          </w:hyperlink>
          <w:r w:rsidDel="00000000" w:rsidR="00000000" w:rsidRPr="00000000"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_heading=h.gjdgxs \h </w:instrText>
            <w:fldChar w:fldCharType="separate"/>
          </w:r>
          <w:r w:rsidDel="00000000" w:rsidR="00000000" w:rsidRPr="00000000">
            <w:rPr>
              <w:rFonts w:ascii="Work Sans" w:cs="Work Sans" w:eastAsia="Work Sans" w:hAnsi="Work Sans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tabs>
              <w:tab w:val="right" w:leader="none" w:pos="9972"/>
            </w:tabs>
            <w:spacing w:before="200" w:line="240" w:lineRule="auto"/>
            <w:ind w:left="0" w:firstLine="0"/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Work Sans" w:cs="Work Sans" w:eastAsia="Work Sans" w:hAnsi="Work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OBJETIVO</w:t>
            </w:r>
          </w:hyperlink>
          <w:r w:rsidDel="00000000" w:rsidR="00000000" w:rsidRPr="00000000"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rFonts w:ascii="Work Sans" w:cs="Work Sans" w:eastAsia="Work Sans" w:hAnsi="Work San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tabs>
              <w:tab w:val="right" w:leader="none" w:pos="9972"/>
            </w:tabs>
            <w:spacing w:before="200" w:line="240" w:lineRule="auto"/>
            <w:ind w:left="0" w:firstLine="0"/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Work Sans" w:cs="Work Sans" w:eastAsia="Work Sans" w:hAnsi="Work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ALCANCE</w:t>
            </w:r>
          </w:hyperlink>
          <w:r w:rsidDel="00000000" w:rsidR="00000000" w:rsidRPr="00000000"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rFonts w:ascii="Work Sans" w:cs="Work Sans" w:eastAsia="Work Sans" w:hAnsi="Work San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tabs>
              <w:tab w:val="right" w:leader="none" w:pos="9972"/>
            </w:tabs>
            <w:spacing w:before="200" w:line="240" w:lineRule="auto"/>
            <w:ind w:left="0" w:firstLine="0"/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Work Sans" w:cs="Work Sans" w:eastAsia="Work Sans" w:hAnsi="Work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TÉRMINOS Y DEFINICIONES</w:t>
            </w:r>
          </w:hyperlink>
          <w:r w:rsidDel="00000000" w:rsidR="00000000" w:rsidRPr="00000000"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rFonts w:ascii="Work Sans" w:cs="Work Sans" w:eastAsia="Work Sans" w:hAnsi="Work San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tabs>
              <w:tab w:val="right" w:leader="none" w:pos="9972"/>
            </w:tabs>
            <w:spacing w:before="200" w:line="240" w:lineRule="auto"/>
            <w:ind w:left="0" w:firstLine="0"/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Work Sans" w:cs="Work Sans" w:eastAsia="Work Sans" w:hAnsi="Work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DOCUMENTOS DE REFERENCIA</w:t>
            </w:r>
          </w:hyperlink>
          <w:r w:rsidDel="00000000" w:rsidR="00000000" w:rsidRPr="00000000"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rFonts w:ascii="Work Sans" w:cs="Work Sans" w:eastAsia="Work Sans" w:hAnsi="Work San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tabs>
              <w:tab w:val="right" w:leader="none" w:pos="9972"/>
            </w:tabs>
            <w:spacing w:after="80" w:before="200" w:line="240" w:lineRule="auto"/>
            <w:ind w:left="0" w:firstLine="0"/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Work Sans" w:cs="Work Sans" w:eastAsia="Work Sans" w:hAnsi="Work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DESCRIPCIÓN</w:t>
            </w:r>
          </w:hyperlink>
          <w:r w:rsidDel="00000000" w:rsidR="00000000" w:rsidRPr="00000000"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_heading=h.3dy6vkm \h </w:instrText>
            <w:fldChar w:fldCharType="separate"/>
          </w:r>
          <w:r w:rsidDel="00000000" w:rsidR="00000000" w:rsidRPr="00000000">
            <w:rPr>
              <w:rFonts w:ascii="Work Sans" w:cs="Work Sans" w:eastAsia="Work Sans" w:hAnsi="Work San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9">
      <w:pPr>
        <w:pStyle w:val="Heading1"/>
        <w:widowControl w:val="1"/>
        <w:spacing w:after="160" w:before="280" w:line="360" w:lineRule="auto"/>
        <w:ind w:left="360" w:hanging="360"/>
        <w:rPr>
          <w:rFonts w:ascii="Source Serif Pro" w:cs="Source Serif Pro" w:eastAsia="Source Serif Pro" w:hAnsi="Source Serif Pro"/>
          <w:color w:val="063796"/>
        </w:rPr>
      </w:pPr>
      <w:bookmarkStart w:colFirst="0" w:colLast="0" w:name="_heading=h.gjdgxs" w:id="1"/>
      <w:bookmarkEnd w:id="1"/>
      <w:r w:rsidDel="00000000" w:rsidR="00000000" w:rsidRPr="00000000">
        <w:rPr>
          <w:rFonts w:ascii="Source Serif Pro" w:cs="Source Serif Pro" w:eastAsia="Source Serif Pro" w:hAnsi="Source Serif Pro"/>
          <w:color w:val="063796"/>
          <w:rtl w:val="0"/>
        </w:rPr>
        <w:t xml:space="preserve">CONTROL DE CAMBIOS</w:t>
      </w:r>
    </w:p>
    <w:tbl>
      <w:tblPr>
        <w:tblStyle w:val="Table1"/>
        <w:tblW w:w="10015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833"/>
        <w:gridCol w:w="4966"/>
        <w:gridCol w:w="2000"/>
        <w:gridCol w:w="2216"/>
        <w:tblGridChange w:id="0">
          <w:tblGrid>
            <w:gridCol w:w="833"/>
            <w:gridCol w:w="4966"/>
            <w:gridCol w:w="2000"/>
            <w:gridCol w:w="2216"/>
          </w:tblGrid>
        </w:tblGridChange>
      </w:tblGrid>
      <w:tr>
        <w:trPr>
          <w:cantSplit w:val="0"/>
          <w:trHeight w:val="227" w:hRule="atLeast"/>
          <w:tblHeader w:val="0"/>
        </w:trPr>
        <w:tc>
          <w:tcPr>
            <w:shd w:fill="fdd999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Ítem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Descripción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Fecha 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Ciclo de Aprobación</w:t>
            </w:r>
          </w:p>
        </w:tc>
      </w:tr>
      <w:tr>
        <w:trPr>
          <w:cantSplit w:val="0"/>
          <w:trHeight w:val="1188" w:hRule="atLeast"/>
          <w:tblHeader w:val="0"/>
        </w:trPr>
        <w:tc>
          <w:tcPr>
            <w:shd w:fill="fdd999" w:val="clear"/>
          </w:tcPr>
          <w:p w:rsidR="00000000" w:rsidDel="00000000" w:rsidP="00000000" w:rsidRDefault="00000000" w:rsidRPr="00000000" w14:paraId="0000000E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1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0F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Creación del documento. 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2/3/2023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1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Creado Por: </w:t>
            </w:r>
          </w:p>
          <w:p w:rsidR="00000000" w:rsidDel="00000000" w:rsidP="00000000" w:rsidRDefault="00000000" w:rsidRPr="00000000" w14:paraId="00000012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Angélica Martínez</w:t>
            </w:r>
          </w:p>
          <w:p w:rsidR="00000000" w:rsidDel="00000000" w:rsidP="00000000" w:rsidRDefault="00000000" w:rsidRPr="00000000" w14:paraId="00000013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Revisado Por: </w:t>
            </w:r>
          </w:p>
          <w:p w:rsidR="00000000" w:rsidDel="00000000" w:rsidP="00000000" w:rsidRDefault="00000000" w:rsidRPr="00000000" w14:paraId="00000014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Andrés Pirela </w:t>
            </w:r>
          </w:p>
          <w:p w:rsidR="00000000" w:rsidDel="00000000" w:rsidP="00000000" w:rsidRDefault="00000000" w:rsidRPr="00000000" w14:paraId="00000015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016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Raúl Zarate </w:t>
            </w:r>
          </w:p>
        </w:tc>
      </w:tr>
    </w:tbl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" w:lineRule="auto"/>
        <w:rPr>
          <w:rFonts w:ascii="Work Sans" w:cs="Work Sans" w:eastAsia="Work Sans" w:hAnsi="Work Sans"/>
          <w:b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widowControl w:val="1"/>
        <w:numPr>
          <w:ilvl w:val="0"/>
          <w:numId w:val="3"/>
        </w:numPr>
        <w:spacing w:after="160" w:before="280" w:line="360" w:lineRule="auto"/>
        <w:ind w:left="360" w:hanging="360"/>
        <w:rPr>
          <w:rFonts w:ascii="Source Serif Pro" w:cs="Source Serif Pro" w:eastAsia="Source Serif Pro" w:hAnsi="Source Serif Pro"/>
          <w:color w:val="063796"/>
        </w:rPr>
      </w:pPr>
      <w:bookmarkStart w:colFirst="0" w:colLast="0" w:name="_heading=h.30j0zll" w:id="2"/>
      <w:bookmarkEnd w:id="2"/>
      <w:r w:rsidDel="00000000" w:rsidR="00000000" w:rsidRPr="00000000">
        <w:rPr>
          <w:rFonts w:ascii="Source Serif Pro" w:cs="Source Serif Pro" w:eastAsia="Source Serif Pro" w:hAnsi="Source Serif Pro"/>
          <w:color w:val="063796"/>
          <w:rtl w:val="0"/>
        </w:rPr>
        <w:t xml:space="preserve">OBJETIVO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Indicar los pasos a seguir para solicitar contratos de un agente con UNITED HEALTH CARE, así como también completar la información del contrato en Salesforce. </w:t>
      </w:r>
    </w:p>
    <w:p w:rsidR="00000000" w:rsidDel="00000000" w:rsidP="00000000" w:rsidRDefault="00000000" w:rsidRPr="00000000" w14:paraId="0000001A">
      <w:pPr>
        <w:pStyle w:val="Heading1"/>
        <w:widowControl w:val="1"/>
        <w:numPr>
          <w:ilvl w:val="0"/>
          <w:numId w:val="3"/>
        </w:numPr>
        <w:spacing w:after="160" w:before="280" w:line="360" w:lineRule="auto"/>
        <w:ind w:left="360" w:hanging="360"/>
        <w:rPr>
          <w:rFonts w:ascii="Source Serif Pro" w:cs="Source Serif Pro" w:eastAsia="Source Serif Pro" w:hAnsi="Source Serif Pro"/>
          <w:color w:val="063796"/>
        </w:rPr>
      </w:pPr>
      <w:bookmarkStart w:colFirst="0" w:colLast="0" w:name="_heading=h.1fob9te" w:id="3"/>
      <w:bookmarkEnd w:id="3"/>
      <w:r w:rsidDel="00000000" w:rsidR="00000000" w:rsidRPr="00000000">
        <w:rPr>
          <w:rFonts w:ascii="Source Serif Pro" w:cs="Source Serif Pro" w:eastAsia="Source Serif Pro" w:hAnsi="Source Serif Pro"/>
          <w:color w:val="063796"/>
          <w:rtl w:val="0"/>
        </w:rPr>
        <w:t xml:space="preserve">ALCANCE</w:t>
      </w:r>
    </w:p>
    <w:p w:rsidR="00000000" w:rsidDel="00000000" w:rsidP="00000000" w:rsidRDefault="00000000" w:rsidRPr="00000000" w14:paraId="0000001B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sz w:val="20"/>
          <w:szCs w:val="20"/>
        </w:rPr>
      </w:pPr>
      <w:bookmarkStart w:colFirst="0" w:colLast="0" w:name="_heading=h.3rdcrjn" w:id="4"/>
      <w:bookmarkEnd w:id="4"/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Aplica una vez se convierte al lead en contacto, y el agente requiera trabajar bajo contrato del carrier, no aplica cuando el agente únicamente trabaje con MBO.</w:t>
      </w:r>
    </w:p>
    <w:p w:rsidR="00000000" w:rsidDel="00000000" w:rsidP="00000000" w:rsidRDefault="00000000" w:rsidRPr="00000000" w14:paraId="0000001C">
      <w:pPr>
        <w:pStyle w:val="Heading1"/>
        <w:widowControl w:val="1"/>
        <w:numPr>
          <w:ilvl w:val="0"/>
          <w:numId w:val="3"/>
        </w:numPr>
        <w:spacing w:after="160" w:before="280" w:line="360" w:lineRule="auto"/>
        <w:ind w:left="360" w:hanging="360"/>
        <w:rPr>
          <w:rFonts w:ascii="Source Serif Pro" w:cs="Source Serif Pro" w:eastAsia="Source Serif Pro" w:hAnsi="Source Serif Pro"/>
          <w:color w:val="063796"/>
        </w:rPr>
      </w:pPr>
      <w:bookmarkStart w:colFirst="0" w:colLast="0" w:name="_heading=h.3znysh7" w:id="5"/>
      <w:bookmarkEnd w:id="5"/>
      <w:r w:rsidDel="00000000" w:rsidR="00000000" w:rsidRPr="00000000">
        <w:rPr>
          <w:rFonts w:ascii="Source Serif Pro" w:cs="Source Serif Pro" w:eastAsia="Source Serif Pro" w:hAnsi="Source Serif Pro"/>
          <w:color w:val="063796"/>
          <w:rtl w:val="0"/>
        </w:rPr>
        <w:t xml:space="preserve">TÉRMINOS Y DEFINICIONES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ARC: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 Plataforma que permite visualizar el libro de negocios, producción y comisiones del agente.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bookmarkStart w:colFirst="0" w:colLast="0" w:name="_heading=h.2et92p0" w:id="6"/>
      <w:bookmarkEnd w:id="6"/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Carrier: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 Compañía o entidad de seguros con la que Claro Insurance mantiene contratos, y a través de estas los agentes asociados con nosotros venden sus productos.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Salesforce: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 Herramienta digital que contiene la información sobre agentes y clientes de la compañía.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b w:val="1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NPN: 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Número de identificación del agente.</w:t>
      </w: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b w:val="1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Opportunities: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Agente que da una respuesta positiva es tipificado y el registro pasa al objeto opportunities, este aplica contratarse.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widowControl w:val="1"/>
        <w:numPr>
          <w:ilvl w:val="0"/>
          <w:numId w:val="3"/>
        </w:numPr>
        <w:spacing w:after="160" w:before="280" w:line="360" w:lineRule="auto"/>
        <w:ind w:left="360" w:hanging="360"/>
        <w:rPr>
          <w:rFonts w:ascii="Source Serif Pro" w:cs="Source Serif Pro" w:eastAsia="Source Serif Pro" w:hAnsi="Source Serif Pro"/>
          <w:color w:val="063796"/>
        </w:rPr>
      </w:pPr>
      <w:bookmarkStart w:colFirst="0" w:colLast="0" w:name="_heading=h.tyjcwt" w:id="7"/>
      <w:bookmarkEnd w:id="7"/>
      <w:r w:rsidDel="00000000" w:rsidR="00000000" w:rsidRPr="00000000">
        <w:rPr>
          <w:rFonts w:ascii="Source Serif Pro" w:cs="Source Serif Pro" w:eastAsia="Source Serif Pro" w:hAnsi="Source Serif Pro"/>
          <w:color w:val="063796"/>
          <w:rtl w:val="0"/>
        </w:rPr>
        <w:t xml:space="preserve">DOCUMENTOS DE REFERENCIA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No Aplica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1"/>
        <w:widowControl w:val="1"/>
        <w:numPr>
          <w:ilvl w:val="0"/>
          <w:numId w:val="3"/>
        </w:numPr>
        <w:spacing w:after="160" w:before="280" w:line="360" w:lineRule="auto"/>
        <w:ind w:left="360" w:hanging="360"/>
        <w:rPr>
          <w:rFonts w:ascii="Source Serif Pro" w:cs="Source Serif Pro" w:eastAsia="Source Serif Pro" w:hAnsi="Source Serif Pro"/>
          <w:color w:val="063796"/>
        </w:rPr>
      </w:pPr>
      <w:bookmarkStart w:colFirst="0" w:colLast="0" w:name="_heading=h.3dy6vkm" w:id="8"/>
      <w:bookmarkEnd w:id="8"/>
      <w:r w:rsidDel="00000000" w:rsidR="00000000" w:rsidRPr="00000000">
        <w:rPr>
          <w:rFonts w:ascii="Source Serif Pro" w:cs="Source Serif Pro" w:eastAsia="Source Serif Pro" w:hAnsi="Source Serif Pro"/>
          <w:color w:val="063796"/>
          <w:rtl w:val="0"/>
        </w:rPr>
        <w:t xml:space="preserve">DESCRIPCIÓN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117" w:hanging="36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Ingresar diariamente, al inicio de la jornada laboral, a la plataforma de Salesforce y realizar las siguientes acciones.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ind w:left="1080" w:firstLine="0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127000</wp:posOffset>
                </wp:positionV>
                <wp:extent cx="399415" cy="198120"/>
                <wp:effectExtent b="0" l="0" r="0" t="0"/>
                <wp:wrapNone/>
                <wp:docPr id="105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60580" y="3695228"/>
                          <a:ext cx="370840" cy="16954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127000</wp:posOffset>
                </wp:positionV>
                <wp:extent cx="399415" cy="198120"/>
                <wp:effectExtent b="0" l="0" r="0" t="0"/>
                <wp:wrapNone/>
                <wp:docPr id="105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415" cy="1981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jc w:val="center"/>
        <w:rPr>
          <w:rFonts w:ascii="Work Sans" w:cs="Work Sans" w:eastAsia="Work Sans" w:hAnsi="Work Sans"/>
          <w:color w:val="80808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808080"/>
          <w:sz w:val="20"/>
          <w:szCs w:val="20"/>
        </w:rPr>
        <w:drawing>
          <wp:inline distB="114300" distT="114300" distL="114300" distR="114300">
            <wp:extent cx="5020627" cy="1200421"/>
            <wp:effectExtent b="0" l="0" r="0" t="0"/>
            <wp:docPr id="1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0627" cy="1200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2095500</wp:posOffset>
                </wp:positionH>
                <wp:positionV relativeFrom="paragraph">
                  <wp:posOffset>469900</wp:posOffset>
                </wp:positionV>
                <wp:extent cx="419735" cy="145415"/>
                <wp:effectExtent b="0" l="0" r="0" t="0"/>
                <wp:wrapNone/>
                <wp:docPr id="10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45658" y="3716818"/>
                          <a:ext cx="400685" cy="12636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2095500</wp:posOffset>
                </wp:positionH>
                <wp:positionV relativeFrom="paragraph">
                  <wp:posOffset>469900</wp:posOffset>
                </wp:positionV>
                <wp:extent cx="419735" cy="145415"/>
                <wp:effectExtent b="0" l="0" r="0" t="0"/>
                <wp:wrapNone/>
                <wp:docPr id="10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735" cy="1454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203200</wp:posOffset>
                </wp:positionV>
                <wp:extent cx="875179" cy="171450"/>
                <wp:effectExtent b="0" l="0" r="0" t="0"/>
                <wp:wrapNone/>
                <wp:docPr id="106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917936" y="3703800"/>
                          <a:ext cx="856129" cy="1524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203200</wp:posOffset>
                </wp:positionV>
                <wp:extent cx="875179" cy="171450"/>
                <wp:effectExtent b="0" l="0" r="0" t="0"/>
                <wp:wrapNone/>
                <wp:docPr id="106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5179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Work Sans" w:cs="Work Sans" w:eastAsia="Work Sans" w:hAnsi="Work Sans"/>
          <w:color w:val="000000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(1) </w:t>
      </w:r>
      <w:r w:rsidDel="00000000" w:rsidR="00000000" w:rsidRPr="00000000">
        <w:rPr>
          <w:rFonts w:ascii="Work Sans" w:cs="Work Sans" w:eastAsia="Work Sans" w:hAnsi="Work Sans"/>
          <w:color w:val="000000"/>
          <w:sz w:val="21"/>
          <w:szCs w:val="21"/>
          <w:rtl w:val="0"/>
        </w:rPr>
        <w:t xml:space="preserve">Hacer click </w:t>
      </w:r>
      <w:r w:rsidDel="00000000" w:rsidR="00000000" w:rsidRPr="00000000">
        <w:rPr>
          <w:rFonts w:ascii="Work Sans" w:cs="Work Sans" w:eastAsia="Work Sans" w:hAnsi="Work Sans"/>
          <w:sz w:val="21"/>
          <w:szCs w:val="21"/>
          <w:rtl w:val="0"/>
        </w:rPr>
        <w:t xml:space="preserve">en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Work Sans" w:cs="Work Sans" w:eastAsia="Work Sans" w:hAnsi="Work Sans"/>
          <w:color w:val="000000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(2) </w:t>
      </w:r>
      <w:r w:rsidDel="00000000" w:rsidR="00000000" w:rsidRPr="00000000">
        <w:rPr>
          <w:rFonts w:ascii="Work Sans" w:cs="Work Sans" w:eastAsia="Work Sans" w:hAnsi="Work Sans"/>
          <w:sz w:val="21"/>
          <w:szCs w:val="21"/>
          <w:rtl w:val="0"/>
        </w:rPr>
        <w:t xml:space="preserve">Seleccionar lista </w:t>
      </w:r>
      <w:r w:rsidDel="00000000" w:rsidR="00000000" w:rsidRPr="00000000">
        <w:rPr>
          <w:rFonts w:ascii="Work Sans" w:cs="Work Sans" w:eastAsia="Work Sans" w:hAnsi="Work Sans"/>
          <w:color w:val="000000"/>
          <w:sz w:val="21"/>
          <w:szCs w:val="21"/>
          <w:rtl w:val="0"/>
        </w:rPr>
        <w:t xml:space="preserve">Started Contracting Opps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(3) </w:t>
      </w:r>
      <w:r w:rsidDel="00000000" w:rsidR="00000000" w:rsidRPr="00000000">
        <w:rPr>
          <w:rFonts w:ascii="Work Sans" w:cs="Work Sans" w:eastAsia="Work Sans" w:hAnsi="Work Sans"/>
          <w:sz w:val="21"/>
          <w:szCs w:val="21"/>
          <w:rtl w:val="0"/>
        </w:rPr>
        <w:t xml:space="preserve">Filtrar por carrier United Health Care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sz w:val="21"/>
          <w:szCs w:val="21"/>
          <w:rtl w:val="0"/>
        </w:rPr>
        <w:t xml:space="preserve">(4) Seleccionar opp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Ir a https://px.sircon.com/login/17964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76" w:lineRule="auto"/>
        <w:ind w:left="1117" w:right="0" w:firstLine="0"/>
        <w:jc w:val="both"/>
        <w:rPr>
          <w:rFonts w:ascii="Work Sans" w:cs="Work Sans" w:eastAsia="Work Sans" w:hAnsi="Work Sans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sz w:val="21"/>
          <w:szCs w:val="21"/>
          <w:rtl w:val="0"/>
        </w:rPr>
        <w:t xml:space="preserve">User: AllInsurance_REC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76" w:lineRule="auto"/>
        <w:ind w:left="1117" w:right="0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sz w:val="21"/>
          <w:szCs w:val="21"/>
          <w:rtl w:val="0"/>
        </w:rPr>
        <w:t xml:space="preserve">PW: United2022!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br w:type="textWrapping"/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</w:rPr>
        <w:drawing>
          <wp:inline distB="114300" distT="114300" distL="114300" distR="114300">
            <wp:extent cx="5739765" cy="1724025"/>
            <wp:effectExtent b="0" l="0" r="0" t="0"/>
            <wp:docPr id="12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39974" l="1696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9765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Dar click en “Create New packet”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Elegir FMO Corp- if Contracting an agency with Tax ID or FMO Individual One - if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942975</wp:posOffset>
            </wp:positionH>
            <wp:positionV relativeFrom="paragraph">
              <wp:posOffset>123825</wp:posOffset>
            </wp:positionV>
            <wp:extent cx="4675823" cy="2126160"/>
            <wp:effectExtent b="0" l="0" r="0" t="0"/>
            <wp:wrapSquare wrapText="bothSides" distB="114300" distT="114300" distL="114300" distR="114300"/>
            <wp:docPr id="1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5823" cy="21261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Contracting an agent.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center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</w:rPr>
        <w:drawing>
          <wp:inline distB="114300" distT="114300" distL="114300" distR="114300">
            <wp:extent cx="4886325" cy="1896725"/>
            <wp:effectExtent b="0" l="0" r="0" t="0"/>
            <wp:docPr id="1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29383" l="1231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89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Ingresar los datos.</w:t>
        <w:br w:type="textWrapping"/>
        <w:t xml:space="preserve">FMO Agency Name: All Insurance Inc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FMO Agent Email: Contracting@claroinsurance.com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NOTE: If you go to the Load Preset option, at the top right corner (red circle) you can select the information above for this to auto populate.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0" w:firstLine="0"/>
        <w:jc w:val="center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</w:rPr>
        <w:drawing>
          <wp:inline distB="114300" distT="114300" distL="114300" distR="114300">
            <wp:extent cx="4141422" cy="1800618"/>
            <wp:effectExtent b="0" l="0" r="0" t="0"/>
            <wp:docPr id="1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1113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1422" cy="1800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0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Completar con la información del agente, en el campo “client reference number”, agregar el NPN del agente.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center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</w:rPr>
        <w:drawing>
          <wp:inline distB="114300" distT="114300" distL="114300" distR="114300">
            <wp:extent cx="4238625" cy="1800137"/>
            <wp:effectExtent b="0" l="0" r="0" t="0"/>
            <wp:docPr id="1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719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800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1" w:line="240" w:lineRule="auto"/>
        <w:ind w:left="1117" w:right="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Seleccionar el upline.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both"/>
        <w:rPr>
          <w:rFonts w:ascii="Work Sans" w:cs="Work Sans" w:eastAsia="Work Sans" w:hAnsi="Work Sans"/>
          <w:sz w:val="20"/>
          <w:szCs w:val="20"/>
          <w:u w:val="none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If All Insurance or other agency that is ALREADY appointted with United Healthcare (EX. Insure Partners)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both"/>
        <w:rPr>
          <w:rFonts w:ascii="Work Sans" w:cs="Work Sans" w:eastAsia="Work Sans" w:hAnsi="Work Sans"/>
          <w:sz w:val="20"/>
          <w:szCs w:val="20"/>
          <w:u w:val="none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If All Insurance: 6324675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1440" w:right="0" w:hanging="360"/>
        <w:jc w:val="both"/>
        <w:rPr>
          <w:rFonts w:ascii="Work Sans" w:cs="Work Sans" w:eastAsia="Work Sans" w:hAnsi="Work Sans"/>
          <w:sz w:val="20"/>
          <w:szCs w:val="20"/>
          <w:u w:val="none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If another agency: go to Jarvis and look for their writing ID in our downline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440" w:firstLine="0"/>
        <w:jc w:val="center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</w:rPr>
        <w:drawing>
          <wp:inline distB="114300" distT="114300" distL="114300" distR="114300">
            <wp:extent cx="5001577" cy="1661453"/>
            <wp:effectExtent b="0" l="0" r="0" t="0"/>
            <wp:docPr id="1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3814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1577" cy="1661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1" w:line="240" w:lineRule="auto"/>
        <w:ind w:left="1117" w:right="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Elegir el nivel de acuerdo con los siguiente: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MGA_FMO: Highest override for the agency. Needs to have downline.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GA_FMO: Agency with regular override. Needs to have downline.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AGT_FMO: Regular agent commission. No override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1440" w:right="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SOL_FMO: Agent. The Commission is paid to 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jc w:val="center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</w:rPr>
        <w:drawing>
          <wp:inline distB="114300" distT="114300" distL="114300" distR="114300">
            <wp:extent cx="4587144" cy="1681059"/>
            <wp:effectExtent b="0" l="0" r="0" t="0"/>
            <wp:docPr id="1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1910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7144" cy="1681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0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Insertar el correo del agente. Personalized Message: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0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Claro Insurance invites you to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contract United Healthcare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Medicare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CC: Contracting@claroinsurance.com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Una vez que se haya completado este paso, ir a Salesforce y cambiar la etapa de la oportunidad a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PENDING- ON AGENT SIDE, y realizar el seguimiento.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0" w:firstLine="0"/>
        <w:jc w:val="center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</w:rPr>
        <w:drawing>
          <wp:inline distB="114300" distT="114300" distL="114300" distR="114300">
            <wp:extent cx="4329113" cy="1462315"/>
            <wp:effectExtent b="0" l="0" r="0" t="0"/>
            <wp:docPr id="1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3441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9113" cy="1462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0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Una vez que el agente complete la invitación de incorporación, veremos la invitación en la pestaña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Awaiting Review Tab.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0" w:firstLine="0"/>
        <w:jc w:val="center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</w:rPr>
        <w:drawing>
          <wp:inline distB="114300" distT="114300" distL="114300" distR="114300">
            <wp:extent cx="4400550" cy="1824077"/>
            <wp:effectExtent b="0" l="0" r="0" t="0"/>
            <wp:docPr id="1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2430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824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Dar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en el icono de carpeta, junto al nombre del agente, para revisar la invitación.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0" w:firstLine="0"/>
        <w:jc w:val="center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</w:rPr>
        <w:drawing>
          <wp:inline distB="114300" distT="114300" distL="114300" distR="114300">
            <wp:extent cx="4660499" cy="1961489"/>
            <wp:effectExtent b="0" l="0" r="0" t="0"/>
            <wp:docPr id="12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2985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0499" cy="1961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0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Revisar la invitación. Confirmar que el nivel del agente sea el correcto, de ser así, dar clic en 'Continuar' en la parte inferior y luego en 'Aprobar'. Esta invitación será enviada a United. Ir a Salesforce y cambiar la etapa de oportunidad a “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CARRIER CONFIRMATION”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0" w:firstLine="0"/>
        <w:jc w:val="center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</w:rPr>
        <w:drawing>
          <wp:inline distB="114300" distT="114300" distL="114300" distR="114300">
            <wp:extent cx="3962400" cy="2066901"/>
            <wp:effectExtent b="0" l="0" r="0" t="0"/>
            <wp:docPr id="10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066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Una vez que United confirme el contrato, se recibirá un correo electrónico de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donotreply@sircon.com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con el asunto Contracting Status - Certification Access. Reenviar este correo electrónico al agente y cambiar la etapa de oportunidad a 'missing certification- Carrier modules'. El agente tendrá 30 días para completar la certificación de United.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0" w:firstLine="0"/>
        <w:jc w:val="center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</w:rPr>
        <w:drawing>
          <wp:inline distB="114300" distT="114300" distL="114300" distR="114300">
            <wp:extent cx="3513773" cy="2499731"/>
            <wp:effectExtent b="0" l="0" r="0" t="0"/>
            <wp:docPr id="12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3773" cy="2499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0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"Una vez que el agente complete la certificación con United, recibiremos un correo electrónico como el de la imagen.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From: </w:t>
      </w:r>
      <w:hyperlink r:id="rId23">
        <w:r w:rsidDel="00000000" w:rsidR="00000000" w:rsidRPr="00000000">
          <w:rPr>
            <w:rFonts w:ascii="Work Sans" w:cs="Work Sans" w:eastAsia="Work Sans" w:hAnsi="Work Sans"/>
            <w:sz w:val="20"/>
            <w:szCs w:val="20"/>
            <w:rtl w:val="0"/>
          </w:rPr>
          <w:t xml:space="preserve">donotreply@sircon.com</w:t>
        </w:r>
      </w:hyperlink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Subject: “_________ Activate Your New Writing Number with UnitedHealthcare Medicare Solutions”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Este es el correo de bienvenida y contiene el número de escritura o identificación del agente. ¡NO CONFUNDIR CON EL CORREO DE CERTIFICACIÓN!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onvertir la oportunidad y agregar la información al nuevo contrato en Salesforce.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0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1419225</wp:posOffset>
            </wp:positionH>
            <wp:positionV relativeFrom="paragraph">
              <wp:posOffset>123825</wp:posOffset>
            </wp:positionV>
            <wp:extent cx="3933825" cy="2625346"/>
            <wp:effectExtent b="0" l="0" r="0" t="0"/>
            <wp:wrapSquare wrapText="bothSides" distB="114300" distT="114300" distL="114300" distR="114300"/>
            <wp:docPr id="12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6253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0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0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0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0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0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0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440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  <w:b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AGREGAR ESTADO: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1"/>
          <w:szCs w:val="21"/>
          <w:rtl w:val="0"/>
        </w:rPr>
        <w:t xml:space="preserve">Ir a https://px.sircon.com/login/17964</w:t>
      </w:r>
    </w:p>
    <w:p w:rsidR="00000000" w:rsidDel="00000000" w:rsidP="00000000" w:rsidRDefault="00000000" w:rsidRPr="00000000" w14:paraId="00000080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sz w:val="21"/>
          <w:szCs w:val="21"/>
          <w:rtl w:val="0"/>
        </w:rPr>
        <w:t xml:space="preserve">User: AllInsurance_REC</w:t>
      </w:r>
    </w:p>
    <w:p w:rsidR="00000000" w:rsidDel="00000000" w:rsidP="00000000" w:rsidRDefault="00000000" w:rsidRPr="00000000" w14:paraId="00000081">
      <w:pPr>
        <w:spacing w:before="11" w:line="276" w:lineRule="auto"/>
        <w:ind w:left="1117" w:firstLine="0"/>
        <w:jc w:val="left"/>
        <w:rPr>
          <w:rFonts w:ascii="Work Sans" w:cs="Work Sans" w:eastAsia="Work Sans" w:hAnsi="Work Sans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sz w:val="21"/>
          <w:szCs w:val="21"/>
          <w:rtl w:val="0"/>
        </w:rPr>
        <w:t xml:space="preserve">PW: United2022!</w:t>
      </w:r>
    </w:p>
    <w:p w:rsidR="00000000" w:rsidDel="00000000" w:rsidP="00000000" w:rsidRDefault="00000000" w:rsidRPr="00000000" w14:paraId="00000082">
      <w:pPr>
        <w:spacing w:before="11" w:line="276" w:lineRule="auto"/>
        <w:ind w:left="1117" w:firstLine="0"/>
        <w:jc w:val="center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</w:rPr>
        <w:drawing>
          <wp:inline distB="114300" distT="114300" distL="114300" distR="114300">
            <wp:extent cx="3629025" cy="1058843"/>
            <wp:effectExtent b="0" l="0" r="0" t="0"/>
            <wp:docPr id="1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4055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058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1"/>
          <w:szCs w:val="21"/>
          <w:rtl w:val="0"/>
        </w:rPr>
        <w:t xml:space="preserve">Dar click en “Create New packet”</w:t>
      </w:r>
    </w:p>
    <w:p w:rsidR="00000000" w:rsidDel="00000000" w:rsidP="00000000" w:rsidRDefault="00000000" w:rsidRPr="00000000" w14:paraId="00000086">
      <w:pP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1619250</wp:posOffset>
            </wp:positionH>
            <wp:positionV relativeFrom="paragraph">
              <wp:posOffset>118707</wp:posOffset>
            </wp:positionV>
            <wp:extent cx="3868103" cy="1761221"/>
            <wp:effectExtent b="0" l="0" r="0" t="0"/>
            <wp:wrapSquare wrapText="bothSides" distB="114300" distT="114300" distL="114300" distR="114300"/>
            <wp:docPr id="1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8103" cy="17612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7">
      <w:pP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1"/>
          <w:szCs w:val="21"/>
          <w:rtl w:val="0"/>
        </w:rPr>
        <w:t xml:space="preserve">Seleccionar FMO Add state option and continue the Flow request.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jc w:val="center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</w:rPr>
        <w:drawing>
          <wp:inline distB="114300" distT="114300" distL="114300" distR="114300">
            <wp:extent cx="4026360" cy="1580190"/>
            <wp:effectExtent b="0" l="0" r="0" t="0"/>
            <wp:docPr id="10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2779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6360" cy="1580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b w:val="1"/>
          <w:sz w:val="21"/>
          <w:szCs w:val="21"/>
          <w:rtl w:val="0"/>
        </w:rPr>
        <w:t xml:space="preserve">RELEASE:</w:t>
      </w: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br w:type="textWrapping"/>
      </w:r>
      <w:r w:rsidDel="00000000" w:rsidR="00000000" w:rsidRPr="00000000">
        <w:rPr>
          <w:rFonts w:ascii="Work Sans" w:cs="Work Sans" w:eastAsia="Work Sans" w:hAnsi="Work Sans"/>
          <w:sz w:val="21"/>
          <w:szCs w:val="21"/>
          <w:rtl w:val="0"/>
        </w:rPr>
        <w:t xml:space="preserve">Cuando el agente tiene una liberación de un corredor anterior, envíar una invitación siguiendo el proceso de  send an invitation following the“new appointment request</w:t>
      </w:r>
    </w:p>
    <w:p w:rsidR="00000000" w:rsidDel="00000000" w:rsidP="00000000" w:rsidRDefault="00000000" w:rsidRPr="00000000" w14:paraId="00000096">
      <w:pP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sz w:val="21"/>
          <w:szCs w:val="21"/>
          <w:rtl w:val="0"/>
        </w:rPr>
        <w:t xml:space="preserve">El agente deberá cargar la carta de release al completar la invitación.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sz w:val="21"/>
          <w:szCs w:val="21"/>
          <w:rtl w:val="0"/>
        </w:rPr>
        <w:t xml:space="preserve">INTENT OF TRANSFER PROCESS – THE AGENT DOESN’T HAVE A RELEASE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sz w:val="21"/>
          <w:szCs w:val="21"/>
          <w:rtl w:val="0"/>
        </w:rPr>
        <w:t xml:space="preserve">An agent must be in their current channel and under their current NMA and/or in their current hierarchy level for at least six months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sz w:val="21"/>
          <w:szCs w:val="21"/>
          <w:rtl w:val="0"/>
        </w:rPr>
        <w:t xml:space="preserve">prior to submitting a notice of intent and can only change channels or EDC or IMO hierarchy once every 12 months from the effective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sz w:val="21"/>
          <w:szCs w:val="21"/>
          <w:rtl w:val="0"/>
        </w:rPr>
        <w:t xml:space="preserve">date of the agent’s current agreement or hierarchy change, whichever occurred most recently.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sz w:val="21"/>
          <w:szCs w:val="21"/>
          <w:rtl w:val="0"/>
        </w:rPr>
        <w:t xml:space="preserve">The agent must email their notice of intent to UnitedHealthcare at shcerts@uhc.com and the top level of their current hierarchy,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sz w:val="21"/>
          <w:szCs w:val="21"/>
          <w:rtl w:val="0"/>
        </w:rPr>
        <w:t xml:space="preserve">indicating the name of the up-line under which they intend to move or if they are moving to the ICA or IMO channel.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sz w:val="21"/>
          <w:szCs w:val="21"/>
          <w:rtl w:val="0"/>
        </w:rPr>
        <w:t xml:space="preserve">Upon receipt of the notice of intent, UnitedHealthcare will send a reply letter to the agent, with a copy to the current NMA and intended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sz w:val="21"/>
          <w:szCs w:val="21"/>
          <w:rtl w:val="0"/>
        </w:rPr>
        <w:t xml:space="preserve">NMA or applicable UnitedHealthcare sales leader if moving to the ICA or IMO channel, indicating the date when the six-month waiting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sz w:val="21"/>
          <w:szCs w:val="21"/>
          <w:rtl w:val="0"/>
        </w:rPr>
        <w:t xml:space="preserve">period expires.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sz w:val="21"/>
          <w:szCs w:val="21"/>
          <w:rtl w:val="0"/>
        </w:rPr>
        <w:t xml:space="preserve">A six-month waiting period begins on the date UnitedHealthcare receives the email. During the waiting period, the agent and their down-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sz w:val="21"/>
          <w:szCs w:val="21"/>
          <w:rtl w:val="0"/>
        </w:rPr>
        <w:t xml:space="preserve">line, if applicable, may continue to write UnitedHealthcare business.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sz w:val="21"/>
          <w:szCs w:val="21"/>
          <w:rtl w:val="0"/>
        </w:rPr>
        <w:t xml:space="preserve">If, during the six-month waiting period, the agent decides to move to a different entity than indicated in the notice of intent, the agent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sz w:val="21"/>
          <w:szCs w:val="21"/>
          <w:rtl w:val="0"/>
        </w:rPr>
        <w:t xml:space="preserve">must submit a new notice, which begins a new six-month waiting period.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sz w:val="21"/>
          <w:szCs w:val="21"/>
          <w:rtl w:val="0"/>
        </w:rPr>
        <w:t xml:space="preserve">Once the notice of intent is submitted to the current up-line, the current up-line may not make changes to the transferring agent’s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sz w:val="21"/>
          <w:szCs w:val="21"/>
          <w:rtl w:val="0"/>
        </w:rPr>
        <w:t xml:space="preserve">hierarchy unless the transferring agent provides written notice to make changes.</w:t>
      </w:r>
    </w:p>
    <w:sectPr>
      <w:headerReference r:id="rId26" w:type="default"/>
      <w:headerReference r:id="rId27" w:type="first"/>
      <w:headerReference r:id="rId28" w:type="even"/>
      <w:footerReference r:id="rId29" w:type="default"/>
      <w:footerReference r:id="rId30" w:type="first"/>
      <w:footerReference r:id="rId31" w:type="even"/>
      <w:pgSz w:h="15840" w:w="12240" w:orient="portrait"/>
      <w:pgMar w:bottom="1418" w:top="1701" w:left="1134" w:right="1134" w:header="713" w:footer="5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Source Serif Pro"/>
  <w:font w:name="Work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15"/>
        <w:szCs w:val="15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304800</wp:posOffset>
              </wp:positionH>
              <wp:positionV relativeFrom="paragraph">
                <wp:posOffset>9461500</wp:posOffset>
              </wp:positionV>
              <wp:extent cx="8890" cy="12700"/>
              <wp:effectExtent b="0" l="0" r="0" t="0"/>
              <wp:wrapNone/>
              <wp:docPr id="104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521520" y="3775555"/>
                        <a:ext cx="5648960" cy="889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304800</wp:posOffset>
              </wp:positionH>
              <wp:positionV relativeFrom="paragraph">
                <wp:posOffset>9461500</wp:posOffset>
              </wp:positionV>
              <wp:extent cx="8890" cy="12700"/>
              <wp:effectExtent b="0" l="0" r="0" t="0"/>
              <wp:wrapNone/>
              <wp:docPr id="104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419100</wp:posOffset>
              </wp:positionH>
              <wp:positionV relativeFrom="paragraph">
                <wp:posOffset>9474200</wp:posOffset>
              </wp:positionV>
              <wp:extent cx="5633720" cy="365760"/>
              <wp:effectExtent b="0" l="0" r="0" t="0"/>
              <wp:wrapNone/>
              <wp:docPr id="107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2543428" y="3611408"/>
                        <a:ext cx="560514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36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Work Sans" w:cs="Work Sans" w:eastAsia="Work Sans" w:hAnsi="Work Sans"/>
                              <w:b w:val="0"/>
                              <w:i w:val="0"/>
                              <w:smallCaps w:val="0"/>
                              <w:strike w:val="0"/>
                              <w:color w:val="4a452a"/>
                              <w:sz w:val="16"/>
                              <w:vertAlign w:val="baseline"/>
                            </w:rPr>
                            <w:t xml:space="preserve">©Queda prohibida la reproducción total o parcial de este documento por cualquier medio sin el consentimiento previo y por escrito de CLARO INSURANCE.  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419100</wp:posOffset>
              </wp:positionH>
              <wp:positionV relativeFrom="paragraph">
                <wp:posOffset>9474200</wp:posOffset>
              </wp:positionV>
              <wp:extent cx="5633720" cy="365760"/>
              <wp:effectExtent b="0" l="0" r="0" t="0"/>
              <wp:wrapNone/>
              <wp:docPr id="107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33720" cy="3657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Work Sans" w:cs="Work Sans" w:eastAsia="Work Sans" w:hAnsi="Work Sans"/>
        <w:color w:val="000000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10185.0" w:type="dxa"/>
      <w:jc w:val="left"/>
      <w:tblInd w:w="5.0" w:type="dxa"/>
      <w:tblBorders>
        <w:top w:color="bebebe" w:space="0" w:sz="4" w:val="single"/>
        <w:left w:color="bebebe" w:space="0" w:sz="4" w:val="single"/>
        <w:bottom w:color="bebebe" w:space="0" w:sz="4" w:val="single"/>
        <w:right w:color="bebebe" w:space="0" w:sz="4" w:val="single"/>
        <w:insideH w:color="bebebe" w:space="0" w:sz="4" w:val="single"/>
        <w:insideV w:color="bebebe" w:space="0" w:sz="4" w:val="single"/>
      </w:tblBorders>
      <w:tblLayout w:type="fixed"/>
      <w:tblLook w:val="0000"/>
    </w:tblPr>
    <w:tblGrid>
      <w:gridCol w:w="2430"/>
      <w:gridCol w:w="5310"/>
      <w:gridCol w:w="1215"/>
      <w:gridCol w:w="1230"/>
      <w:tblGridChange w:id="0">
        <w:tblGrid>
          <w:gridCol w:w="2430"/>
          <w:gridCol w:w="5310"/>
          <w:gridCol w:w="1215"/>
          <w:gridCol w:w="1230"/>
        </w:tblGrid>
      </w:tblGridChange>
    </w:tblGrid>
    <w:tr>
      <w:trPr>
        <w:cantSplit w:val="0"/>
        <w:trHeight w:val="799" w:hRule="atLeast"/>
        <w:tblHeader w:val="1"/>
      </w:trPr>
      <w:tc>
        <w:tcPr>
          <w:vMerge w:val="restart"/>
          <w:shd w:fill="auto" w:val="clear"/>
        </w:tcPr>
        <w:p w:rsidR="00000000" w:rsidDel="00000000" w:rsidP="00000000" w:rsidRDefault="00000000" w:rsidRPr="00000000" w14:paraId="000000A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171450</wp:posOffset>
                </wp:positionH>
                <wp:positionV relativeFrom="paragraph">
                  <wp:posOffset>152400</wp:posOffset>
                </wp:positionV>
                <wp:extent cx="1219200" cy="413657"/>
                <wp:effectExtent b="0" l="0" r="0" t="0"/>
                <wp:wrapNone/>
                <wp:docPr id="11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136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A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6" w:line="256" w:lineRule="auto"/>
            <w:ind w:left="170" w:right="159" w:firstLine="0"/>
            <w:jc w:val="center"/>
            <w:rPr>
              <w:rFonts w:ascii="Source Serif Pro" w:cs="Source Serif Pro" w:eastAsia="Source Serif Pro" w:hAnsi="Source Serif Pro"/>
              <w:b w:val="1"/>
              <w:color w:val="3a3838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b w:val="1"/>
              <w:color w:val="3a3838"/>
              <w:rtl w:val="0"/>
            </w:rPr>
            <w:t xml:space="preserve"> GESTIÓN DE CONTRATOS CON UNITED HEALTH CARE MEDICARE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A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E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Codificación:</w:t>
          </w:r>
        </w:p>
        <w:p w:rsidR="00000000" w:rsidDel="00000000" w:rsidP="00000000" w:rsidRDefault="00000000" w:rsidRPr="00000000" w14:paraId="000000AF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CM-IN-27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B0">
          <w:pPr>
            <w:spacing w:before="1" w:line="264" w:lineRule="auto"/>
            <w:ind w:right="301"/>
            <w:jc w:val="center"/>
            <w:rPr>
              <w:rFonts w:ascii="Source Serif Pro" w:cs="Source Serif Pro" w:eastAsia="Source Serif Pro" w:hAnsi="Source Serif Pro"/>
              <w:color w:val="3a3838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br w:type="textWrapping"/>
            <w:t xml:space="preserve">Versión</w:t>
          </w:r>
        </w:p>
        <w:p w:rsidR="00000000" w:rsidDel="00000000" w:rsidP="00000000" w:rsidRDefault="00000000" w:rsidRPr="00000000" w14:paraId="000000B1">
          <w:pPr>
            <w:spacing w:before="1" w:line="264" w:lineRule="auto"/>
            <w:ind w:right="301"/>
            <w:jc w:val="center"/>
            <w:rPr>
              <w:rFonts w:ascii="Source Serif Pro" w:cs="Source Serif Pro" w:eastAsia="Source Serif Pro" w:hAnsi="Source Serif Pro"/>
              <w:color w:val="3a3838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 1</w:t>
          </w:r>
        </w:p>
      </w:tc>
    </w:tr>
    <w:tr>
      <w:trPr>
        <w:cantSplit w:val="0"/>
        <w:trHeight w:val="402" w:hRule="atLeast"/>
        <w:tblHeader w:val="1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B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B3">
          <w:pPr>
            <w:jc w:val="center"/>
            <w:rPr>
              <w:rFonts w:ascii="Source Serif Pro" w:cs="Source Serif Pro" w:eastAsia="Source Serif Pro" w:hAnsi="Source Serif Pro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rtl w:val="0"/>
            </w:rPr>
            <w:t xml:space="preserve">Proceso o Área: Commercial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B4">
          <w:pPr>
            <w:spacing w:line="183" w:lineRule="auto"/>
            <w:ind w:left="180" w:right="174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Periodo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5">
          <w:pPr>
            <w:spacing w:before="17" w:line="182" w:lineRule="auto"/>
            <w:ind w:left="180" w:right="175" w:firstLine="0"/>
            <w:jc w:val="center"/>
            <w:rPr>
              <w:rFonts w:ascii="Source Serif Pro" w:cs="Source Serif Pro" w:eastAsia="Source Serif Pro" w:hAnsi="Source Serif Pro"/>
              <w:color w:val="3a3838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02/2023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B6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Page </w:t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3"/>
      <w:tblW w:w="10174.0" w:type="dxa"/>
      <w:jc w:val="left"/>
      <w:tblInd w:w="5.0" w:type="dxa"/>
      <w:tblBorders>
        <w:top w:color="bebebe" w:space="0" w:sz="4" w:val="single"/>
        <w:left w:color="bebebe" w:space="0" w:sz="4" w:val="single"/>
        <w:bottom w:color="bebebe" w:space="0" w:sz="4" w:val="single"/>
        <w:right w:color="bebebe" w:space="0" w:sz="4" w:val="single"/>
        <w:insideH w:color="bebebe" w:space="0" w:sz="4" w:val="single"/>
        <w:insideV w:color="bebebe" w:space="0" w:sz="4" w:val="single"/>
      </w:tblBorders>
      <w:tblLayout w:type="fixed"/>
      <w:tblLook w:val="0000"/>
    </w:tblPr>
    <w:tblGrid>
      <w:gridCol w:w="2427"/>
      <w:gridCol w:w="5310"/>
      <w:gridCol w:w="1172"/>
      <w:gridCol w:w="1265"/>
      <w:tblGridChange w:id="0">
        <w:tblGrid>
          <w:gridCol w:w="2427"/>
          <w:gridCol w:w="5310"/>
          <w:gridCol w:w="1172"/>
          <w:gridCol w:w="1265"/>
        </w:tblGrid>
      </w:tblGridChange>
    </w:tblGrid>
    <w:tr>
      <w:trPr>
        <w:cantSplit w:val="0"/>
        <w:trHeight w:val="799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B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-572132</wp:posOffset>
                </wp:positionH>
                <wp:positionV relativeFrom="paragraph">
                  <wp:posOffset>0</wp:posOffset>
                </wp:positionV>
                <wp:extent cx="1219200" cy="413657"/>
                <wp:effectExtent b="0" l="0" r="0" t="0"/>
                <wp:wrapNone/>
                <wp:docPr id="11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136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center"/>
        </w:tcPr>
        <w:p w:rsidR="00000000" w:rsidDel="00000000" w:rsidP="00000000" w:rsidRDefault="00000000" w:rsidRPr="00000000" w14:paraId="000000B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6" w:line="256" w:lineRule="auto"/>
            <w:ind w:left="170" w:right="159" w:firstLine="0"/>
            <w:jc w:val="center"/>
            <w:rPr>
              <w:rFonts w:ascii="Source Serif Pro" w:cs="Source Serif Pro" w:eastAsia="Source Serif Pro" w:hAnsi="Source Serif Pro"/>
              <w:b w:val="1"/>
              <w:color w:val="3a3838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b w:val="1"/>
              <w:color w:val="3a3838"/>
              <w:rtl w:val="0"/>
            </w:rPr>
            <w:t xml:space="preserve">INSTRUCTIVO PARA </w:t>
          </w:r>
        </w:p>
      </w:tc>
      <w:tc>
        <w:tcPr/>
        <w:p w:rsidR="00000000" w:rsidDel="00000000" w:rsidP="00000000" w:rsidRDefault="00000000" w:rsidRPr="00000000" w14:paraId="000000B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D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Codificación:</w:t>
          </w:r>
        </w:p>
        <w:p w:rsidR="00000000" w:rsidDel="00000000" w:rsidP="00000000" w:rsidRDefault="00000000" w:rsidRPr="00000000" w14:paraId="000000BE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-I-01</w:t>
          </w:r>
        </w:p>
      </w:tc>
      <w:tc>
        <w:tcPr/>
        <w:p w:rsidR="00000000" w:rsidDel="00000000" w:rsidP="00000000" w:rsidRDefault="00000000" w:rsidRPr="00000000" w14:paraId="000000B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" w:line="264" w:lineRule="auto"/>
            <w:ind w:left="591" w:right="301" w:hanging="264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Versión 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2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C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C2">
          <w:pPr>
            <w:jc w:val="center"/>
            <w:rPr>
              <w:rFonts w:ascii="Source Serif Pro" w:cs="Source Serif Pro" w:eastAsia="Source Serif Pro" w:hAnsi="Source Serif Pro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rtl w:val="0"/>
            </w:rPr>
            <w:t xml:space="preserve">Proceso o Área: Operaciones</w:t>
          </w:r>
        </w:p>
      </w:tc>
      <w:tc>
        <w:tcPr/>
        <w:p w:rsidR="00000000" w:rsidDel="00000000" w:rsidP="00000000" w:rsidRDefault="00000000" w:rsidRPr="00000000" w14:paraId="000000C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183" w:lineRule="auto"/>
            <w:ind w:left="180" w:right="174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Periodo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7" w:line="182" w:lineRule="auto"/>
            <w:ind w:left="180" w:right="175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12/10/2022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C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00" w:lineRule="auto"/>
            <w:ind w:left="198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Page 1 de 12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right"/>
      <w:pPr>
        <w:ind w:left="1117" w:hanging="360"/>
      </w:pPr>
      <w:rPr/>
    </w:lvl>
    <w:lvl w:ilvl="1">
      <w:start w:val="1"/>
      <w:numFmt w:val="lowerLetter"/>
      <w:lvlText w:val="%2."/>
      <w:lvlJc w:val="left"/>
      <w:pPr>
        <w:ind w:left="1837" w:hanging="360"/>
      </w:pPr>
      <w:rPr/>
    </w:lvl>
    <w:lvl w:ilvl="2">
      <w:start w:val="1"/>
      <w:numFmt w:val="lowerRoman"/>
      <w:lvlText w:val="%3."/>
      <w:lvlJc w:val="right"/>
      <w:pPr>
        <w:ind w:left="2557" w:hanging="180"/>
      </w:pPr>
      <w:rPr/>
    </w:lvl>
    <w:lvl w:ilvl="3">
      <w:start w:val="1"/>
      <w:numFmt w:val="decimal"/>
      <w:lvlText w:val="%4."/>
      <w:lvlJc w:val="left"/>
      <w:pPr>
        <w:ind w:left="3277" w:hanging="360"/>
      </w:pPr>
      <w:rPr/>
    </w:lvl>
    <w:lvl w:ilvl="4">
      <w:start w:val="1"/>
      <w:numFmt w:val="lowerLetter"/>
      <w:lvlText w:val="%5."/>
      <w:lvlJc w:val="left"/>
      <w:pPr>
        <w:ind w:left="3997" w:hanging="360"/>
      </w:pPr>
      <w:rPr/>
    </w:lvl>
    <w:lvl w:ilvl="5">
      <w:start w:val="1"/>
      <w:numFmt w:val="lowerRoman"/>
      <w:lvlText w:val="%6."/>
      <w:lvlJc w:val="right"/>
      <w:pPr>
        <w:ind w:left="4717" w:hanging="180"/>
      </w:pPr>
      <w:rPr/>
    </w:lvl>
    <w:lvl w:ilvl="6">
      <w:start w:val="1"/>
      <w:numFmt w:val="decimal"/>
      <w:lvlText w:val="%7."/>
      <w:lvlJc w:val="left"/>
      <w:pPr>
        <w:ind w:left="5437" w:hanging="360"/>
      </w:pPr>
      <w:rPr/>
    </w:lvl>
    <w:lvl w:ilvl="7">
      <w:start w:val="1"/>
      <w:numFmt w:val="lowerLetter"/>
      <w:lvlText w:val="%8."/>
      <w:lvlJc w:val="left"/>
      <w:pPr>
        <w:ind w:left="6157" w:hanging="360"/>
      </w:pPr>
      <w:rPr/>
    </w:lvl>
    <w:lvl w:ilvl="8">
      <w:start w:val="1"/>
      <w:numFmt w:val="lowerRoman"/>
      <w:lvlText w:val="%9."/>
      <w:lvlJc w:val="right"/>
      <w:pPr>
        <w:ind w:left="6877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02" w:hanging="360"/>
      </w:pPr>
      <w:rPr>
        <w:b w:val="1"/>
      </w:rPr>
    </w:lvl>
    <w:lvl w:ilvl="1">
      <w:start w:val="1"/>
      <w:numFmt w:val="decimal"/>
      <w:lvlText w:val="%1.%2"/>
      <w:lvlJc w:val="left"/>
      <w:pPr>
        <w:ind w:left="1402" w:hanging="360"/>
      </w:pPr>
      <w:rPr>
        <w:b w:val="1"/>
      </w:rPr>
    </w:lvl>
    <w:lvl w:ilvl="2">
      <w:start w:val="0"/>
      <w:numFmt w:val="bullet"/>
      <w:lvlText w:val=""/>
      <w:lvlJc w:val="left"/>
      <w:pPr>
        <w:ind w:left="1402" w:hanging="360"/>
      </w:pPr>
      <w:rPr/>
    </w:lvl>
    <w:lvl w:ilvl="3">
      <w:start w:val="0"/>
      <w:numFmt w:val="bullet"/>
      <w:lvlText w:val="•"/>
      <w:lvlJc w:val="left"/>
      <w:pPr>
        <w:ind w:left="3346" w:hanging="360"/>
      </w:pPr>
      <w:rPr/>
    </w:lvl>
    <w:lvl w:ilvl="4">
      <w:start w:val="0"/>
      <w:numFmt w:val="bullet"/>
      <w:lvlText w:val="•"/>
      <w:lvlJc w:val="left"/>
      <w:pPr>
        <w:ind w:left="4320" w:hanging="360"/>
      </w:pPr>
      <w:rPr/>
    </w:lvl>
    <w:lvl w:ilvl="5">
      <w:start w:val="0"/>
      <w:numFmt w:val="bullet"/>
      <w:lvlText w:val="•"/>
      <w:lvlJc w:val="left"/>
      <w:pPr>
        <w:ind w:left="5293" w:hanging="360"/>
      </w:pPr>
      <w:rPr/>
    </w:lvl>
    <w:lvl w:ilvl="6">
      <w:start w:val="0"/>
      <w:numFmt w:val="bullet"/>
      <w:lvlText w:val="•"/>
      <w:lvlJc w:val="left"/>
      <w:pPr>
        <w:ind w:left="6266" w:hanging="360"/>
      </w:pPr>
      <w:rPr/>
    </w:lvl>
    <w:lvl w:ilvl="7">
      <w:start w:val="0"/>
      <w:numFmt w:val="bullet"/>
      <w:lvlText w:val="•"/>
      <w:lvlJc w:val="left"/>
      <w:pPr>
        <w:ind w:left="7240" w:hanging="360"/>
      </w:pPr>
      <w:rPr/>
    </w:lvl>
    <w:lvl w:ilvl="8">
      <w:start w:val="0"/>
      <w:numFmt w:val="bullet"/>
      <w:lvlText w:val="•"/>
      <w:lvlJc w:val="left"/>
      <w:pPr>
        <w:ind w:left="8213" w:hanging="360"/>
      </w:pPr>
      <w:rPr/>
    </w:lvl>
  </w:abstractNum>
  <w:abstractNum w:abstractNumId="4">
    <w:lvl w:ilvl="0">
      <w:start w:val="1"/>
      <w:numFmt w:val="decimal"/>
      <w:lvlText w:val="%1."/>
      <w:lvlJc w:val="right"/>
      <w:pPr>
        <w:ind w:left="1117" w:hanging="360"/>
      </w:pPr>
      <w:rPr/>
    </w:lvl>
    <w:lvl w:ilvl="1">
      <w:start w:val="1"/>
      <w:numFmt w:val="lowerLetter"/>
      <w:lvlText w:val="%2."/>
      <w:lvlJc w:val="left"/>
      <w:pPr>
        <w:ind w:left="1837" w:hanging="360"/>
      </w:pPr>
      <w:rPr/>
    </w:lvl>
    <w:lvl w:ilvl="2">
      <w:start w:val="1"/>
      <w:numFmt w:val="lowerRoman"/>
      <w:lvlText w:val="%3."/>
      <w:lvlJc w:val="right"/>
      <w:pPr>
        <w:ind w:left="2557" w:hanging="180"/>
      </w:pPr>
      <w:rPr/>
    </w:lvl>
    <w:lvl w:ilvl="3">
      <w:start w:val="1"/>
      <w:numFmt w:val="decimal"/>
      <w:lvlText w:val="%4."/>
      <w:lvlJc w:val="left"/>
      <w:pPr>
        <w:ind w:left="3277" w:hanging="360"/>
      </w:pPr>
      <w:rPr/>
    </w:lvl>
    <w:lvl w:ilvl="4">
      <w:start w:val="1"/>
      <w:numFmt w:val="lowerLetter"/>
      <w:lvlText w:val="%5."/>
      <w:lvlJc w:val="left"/>
      <w:pPr>
        <w:ind w:left="3997" w:hanging="360"/>
      </w:pPr>
      <w:rPr/>
    </w:lvl>
    <w:lvl w:ilvl="5">
      <w:start w:val="1"/>
      <w:numFmt w:val="lowerRoman"/>
      <w:lvlText w:val="%6."/>
      <w:lvlJc w:val="right"/>
      <w:pPr>
        <w:ind w:left="4717" w:hanging="180"/>
      </w:pPr>
      <w:rPr/>
    </w:lvl>
    <w:lvl w:ilvl="6">
      <w:start w:val="1"/>
      <w:numFmt w:val="decimal"/>
      <w:lvlText w:val="%7."/>
      <w:lvlJc w:val="left"/>
      <w:pPr>
        <w:ind w:left="5437" w:hanging="360"/>
      </w:pPr>
      <w:rPr/>
    </w:lvl>
    <w:lvl w:ilvl="7">
      <w:start w:val="1"/>
      <w:numFmt w:val="lowerLetter"/>
      <w:lvlText w:val="%8."/>
      <w:lvlJc w:val="left"/>
      <w:pPr>
        <w:ind w:left="6157" w:hanging="360"/>
      </w:pPr>
      <w:rPr/>
    </w:lvl>
    <w:lvl w:ilvl="8">
      <w:start w:val="1"/>
      <w:numFmt w:val="lowerRoman"/>
      <w:lvlText w:val="%9."/>
      <w:lvlJc w:val="right"/>
      <w:pPr>
        <w:ind w:left="6877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52" w:lineRule="auto"/>
      <w:ind w:left="1402" w:hanging="360.99999999999994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ind w:left="1402" w:hanging="360.99999999999994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33" w:lineRule="auto"/>
      <w:ind w:left="2140" w:right="2100"/>
      <w:jc w:val="center"/>
    </w:pPr>
    <w:rPr>
      <w:b w:val="1"/>
      <w:sz w:val="48"/>
      <w:szCs w:val="48"/>
    </w:rPr>
  </w:style>
  <w:style w:type="paragraph" w:styleId="Normal" w:default="1">
    <w:name w:val="Normal"/>
    <w:qFormat w:val="1"/>
    <w:rPr>
      <w:lang w:val="es-ES"/>
    </w:rPr>
  </w:style>
  <w:style w:type="paragraph" w:styleId="Ttulo1">
    <w:name w:val="heading 1"/>
    <w:aliases w:val="Título Claro"/>
    <w:basedOn w:val="Normal"/>
    <w:link w:val="Ttulo1Car"/>
    <w:uiPriority w:val="9"/>
    <w:qFormat w:val="1"/>
    <w:pPr>
      <w:spacing w:before="52"/>
      <w:ind w:left="1402" w:hanging="361"/>
      <w:outlineLvl w:val="0"/>
    </w:pPr>
    <w:rPr>
      <w:b w:val="1"/>
      <w:bCs w:val="1"/>
      <w:sz w:val="24"/>
      <w:szCs w:val="24"/>
    </w:rPr>
  </w:style>
  <w:style w:type="paragraph" w:styleId="Ttulo2">
    <w:name w:val="heading 2"/>
    <w:basedOn w:val="Normal"/>
    <w:uiPriority w:val="9"/>
    <w:semiHidden w:val="1"/>
    <w:unhideWhenUsed w:val="1"/>
    <w:qFormat w:val="1"/>
    <w:pPr>
      <w:ind w:left="1402" w:hanging="361"/>
      <w:outlineLvl w:val="1"/>
    </w:pPr>
    <w:rPr>
      <w:b w:val="1"/>
      <w:bCs w:val="1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uiPriority w:val="10"/>
    <w:qFormat w:val="1"/>
    <w:pPr>
      <w:spacing w:before="133"/>
      <w:ind w:left="2140" w:right="2100"/>
      <w:jc w:val="center"/>
    </w:pPr>
    <w:rPr>
      <w:b w:val="1"/>
      <w:bCs w:val="1"/>
      <w:sz w:val="48"/>
      <w:szCs w:val="48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DC1">
    <w:name w:val="toc 1"/>
    <w:basedOn w:val="Normal"/>
    <w:uiPriority w:val="39"/>
    <w:qFormat w:val="1"/>
    <w:pPr>
      <w:spacing w:before="120"/>
      <w:ind w:left="1121" w:hanging="440"/>
    </w:pPr>
  </w:style>
  <w:style w:type="paragraph" w:styleId="TDC2">
    <w:name w:val="toc 2"/>
    <w:basedOn w:val="Normal"/>
    <w:uiPriority w:val="1"/>
    <w:qFormat w:val="1"/>
    <w:pPr>
      <w:spacing w:before="120"/>
      <w:ind w:left="1562" w:hanging="661"/>
    </w:p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ind w:left="1402" w:hanging="361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Encabezado">
    <w:name w:val="header"/>
    <w:basedOn w:val="Normal"/>
    <w:link w:val="EncabezadoCar"/>
    <w:uiPriority w:val="99"/>
    <w:unhideWhenUsed w:val="1"/>
    <w:rsid w:val="0096260F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96260F"/>
    <w:rPr>
      <w:rFonts w:ascii="Calibri" w:cs="Calibri" w:eastAsia="Calibri" w:hAnsi="Calibri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96260F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96260F"/>
    <w:rPr>
      <w:rFonts w:ascii="Calibri" w:cs="Calibri" w:eastAsia="Calibri" w:hAnsi="Calibri"/>
      <w:lang w:val="es-ES"/>
    </w:rPr>
  </w:style>
  <w:style w:type="character" w:styleId="Hipervnculo">
    <w:name w:val="Hyperlink"/>
    <w:basedOn w:val="Fuentedeprrafopredeter"/>
    <w:uiPriority w:val="99"/>
    <w:unhideWhenUsed w:val="1"/>
    <w:rsid w:val="00DB1B86"/>
    <w:rPr>
      <w:color w:val="0000ff"/>
      <w:u w:val="single"/>
    </w:rPr>
  </w:style>
  <w:style w:type="table" w:styleId="Tablaconcuadrcula1clara-nfasis4">
    <w:name w:val="Grid Table 1 Light Accent 4"/>
    <w:basedOn w:val="Tablanormal"/>
    <w:uiPriority w:val="46"/>
    <w:rsid w:val="00C240F8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  <w:lang w:eastAsia="es-CO"/>
    </w:rPr>
    <w:tblPr>
      <w:tblStyleRowBandSize w:val="1"/>
      <w:tblStyleColBandSize w:val="1"/>
      <w:tblBorders>
        <w:top w:color="ccc0d9" w:space="0" w:sz="4" w:themeColor="accent4" w:themeTint="000066" w:val="single"/>
        <w:left w:color="ccc0d9" w:space="0" w:sz="4" w:themeColor="accent4" w:themeTint="000066" w:val="single"/>
        <w:bottom w:color="ccc0d9" w:space="0" w:sz="4" w:themeColor="accent4" w:themeTint="000066" w:val="single"/>
        <w:right w:color="ccc0d9" w:space="0" w:sz="4" w:themeColor="accent4" w:themeTint="000066" w:val="single"/>
        <w:insideH w:color="ccc0d9" w:space="0" w:sz="4" w:themeColor="accent4" w:themeTint="000066" w:val="single"/>
        <w:insideV w:color="ccc0d9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b2a1c7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2a1c7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2F1570"/>
    <w:rPr>
      <w:color w:val="800080" w:themeColor="followedHyperlink"/>
      <w:u w:val="single"/>
    </w:rPr>
  </w:style>
  <w:style w:type="character" w:styleId="Ttulo1Car" w:customStyle="1">
    <w:name w:val="Título 1 Car"/>
    <w:aliases w:val="Título Claro Car"/>
    <w:basedOn w:val="Fuentedeprrafopredeter"/>
    <w:link w:val="Ttulo1"/>
    <w:uiPriority w:val="9"/>
    <w:rsid w:val="002F1570"/>
    <w:rPr>
      <w:rFonts w:ascii="Calibri" w:cs="Calibri" w:eastAsia="Calibri" w:hAnsi="Calibri"/>
      <w:b w:val="1"/>
      <w:bCs w:val="1"/>
      <w:sz w:val="24"/>
      <w:szCs w:val="24"/>
      <w:lang w:val="es-ES"/>
    </w:rPr>
  </w:style>
  <w:style w:type="table" w:styleId="Tablaconcuadrcula4-nfasis6">
    <w:name w:val="Grid Table 4 Accent 6"/>
    <w:basedOn w:val="Tablanormal"/>
    <w:uiPriority w:val="49"/>
    <w:rsid w:val="0005559E"/>
    <w:tblPr>
      <w:tblStyleRowBandSize w:val="1"/>
      <w:tblStyleColBandSize w:val="1"/>
      <w:tblBorders>
        <w:top w:color="fabf8f" w:space="0" w:sz="4" w:themeColor="accent6" w:themeTint="000099" w:val="single"/>
        <w:left w:color="fabf8f" w:space="0" w:sz="4" w:themeColor="accent6" w:themeTint="000099" w:val="single"/>
        <w:bottom w:color="fabf8f" w:space="0" w:sz="4" w:themeColor="accent6" w:themeTint="000099" w:val="single"/>
        <w:right w:color="fabf8f" w:space="0" w:sz="4" w:themeColor="accent6" w:themeTint="000099" w:val="single"/>
        <w:insideH w:color="fabf8f" w:space="0" w:sz="4" w:themeColor="accent6" w:themeTint="000099" w:val="single"/>
        <w:insideV w:color="fabf8f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79646" w:space="0" w:sz="4" w:themeColor="accent6" w:val="single"/>
          <w:left w:color="f79646" w:space="0" w:sz="4" w:themeColor="accent6" w:val="single"/>
          <w:bottom w:color="f79646" w:space="0" w:sz="4" w:themeColor="accent6" w:val="single"/>
          <w:right w:color="f79646" w:space="0" w:sz="4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rPr>
        <w:b w:val="1"/>
        <w:bCs w:val="1"/>
      </w:rPr>
      <w:tblPr/>
      <w:tcPr>
        <w:tcBorders>
          <w:top w:color="f79646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9d9" w:themeFill="accent6" w:themeFillTint="000033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Tablaconcuadrcula5oscura-nfasis6">
    <w:name w:val="Grid Table 5 Dark Accent 6"/>
    <w:basedOn w:val="Tablanormal"/>
    <w:uiPriority w:val="50"/>
    <w:rsid w:val="0005559E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d4b4" w:themeFill="accent6" w:themeFillTint="000066" w:val="clear"/>
      </w:tcPr>
    </w:tblStyle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D067CA"/>
    <w:rPr>
      <w:color w:val="605e5c"/>
      <w:shd w:color="auto" w:fill="e1dfdd" w:val="clear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7334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973347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973347"/>
    <w:rPr>
      <w:rFonts w:ascii="Calibri" w:cs="Calibri" w:eastAsia="Calibri" w:hAnsi="Calibri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73347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73347"/>
    <w:rPr>
      <w:rFonts w:ascii="Calibri" w:cs="Calibri" w:eastAsia="Calibri" w:hAnsi="Calibri"/>
      <w:b w:val="1"/>
      <w:bCs w:val="1"/>
      <w:sz w:val="20"/>
      <w:szCs w:val="20"/>
      <w:lang w:val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674E6E"/>
    <w:pPr>
      <w:keepNext w:val="1"/>
      <w:keepLines w:val="1"/>
      <w:widowControl w:val="1"/>
      <w:spacing w:before="240" w:line="259" w:lineRule="auto"/>
      <w:ind w:left="0" w:firstLine="0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  <w:sz w:val="32"/>
      <w:szCs w:val="32"/>
      <w:lang w:val="es-EC"/>
    </w:rPr>
  </w:style>
  <w:style w:type="paragraph" w:styleId="Parrafoclaro" w:customStyle="1">
    <w:name w:val="Parrafo claro"/>
    <w:basedOn w:val="Textoindependiente"/>
    <w:link w:val="ParrafoclaroCar"/>
    <w:qFormat w:val="1"/>
    <w:rsid w:val="00195FE1"/>
    <w:pPr>
      <w:spacing w:before="11" w:line="276" w:lineRule="auto"/>
      <w:ind w:left="397"/>
      <w:jc w:val="both"/>
    </w:pPr>
    <w:rPr>
      <w:rFonts w:ascii="Work Sans" w:hAnsi="Work Sans"/>
      <w:spacing w:val="-1"/>
      <w:sz w:val="20"/>
      <w:szCs w:val="20"/>
      <w:lang w:val="es-EC"/>
    </w:rPr>
  </w:style>
  <w:style w:type="character" w:styleId="ParrafoclaroCar" w:customStyle="1">
    <w:name w:val="Parrafo claro Car"/>
    <w:basedOn w:val="Fuentedeprrafopredeter"/>
    <w:link w:val="Parrafoclaro"/>
    <w:rsid w:val="00195FE1"/>
    <w:rPr>
      <w:rFonts w:ascii="Work Sans" w:cs="Calibri" w:eastAsia="Calibri" w:hAnsi="Work Sans"/>
      <w:spacing w:val="-1"/>
      <w:sz w:val="20"/>
      <w:szCs w:val="20"/>
      <w:lang w:val="es-EC"/>
    </w:rPr>
  </w:style>
  <w:style w:type="character" w:styleId="ts-alignment-element" w:customStyle="1">
    <w:name w:val="ts-alignment-element"/>
    <w:basedOn w:val="Fuentedeprrafopredeter"/>
    <w:rsid w:val="004F108D"/>
  </w:style>
  <w:style w:type="character" w:styleId="ts-alignment-element-highlighted" w:customStyle="1">
    <w:name w:val="ts-alignment-element-highlighted"/>
    <w:basedOn w:val="Fuentedeprrafopredeter"/>
    <w:rsid w:val="00EB6C8E"/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1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  <w:tblStylePr w:type="firstRow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rPr>
        <w:b w:val="1"/>
        <w:color w:val="ffffff"/>
      </w:rPr>
      <w:tblPr/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firstCol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space="0" w:sz="0" w:val="nil"/>
        </w:tcBorders>
        <w:shd w:color="auto" w:fill="f79646" w:val="clear"/>
      </w:tcPr>
    </w:tblStylePr>
    <w:tblStylePr w:type="lastCol">
      <w:rPr>
        <w:b w:val="1"/>
        <w:color w:val="ffffff"/>
      </w:rPr>
      <w:tblPr/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space="0" w:sz="0" w:val="nil"/>
        </w:tcBorders>
        <w:shd w:color="auto" w:fill="f79646" w:val="clear"/>
      </w:tcPr>
    </w:tblStylePr>
    <w:tblStylePr w:type="band1Vert">
      <w:tblPr/>
      <w:tcPr>
        <w:shd w:color="auto" w:fill="fbd5b5" w:val="clear"/>
      </w:tcPr>
    </w:tblStylePr>
    <w:tblStylePr w:type="band1Horz">
      <w:tblPr/>
      <w:tcPr>
        <w:shd w:color="auto" w:fill="fbd5b5" w:val="clear"/>
      </w:tcPr>
    </w:tblStylePr>
  </w:style>
  <w:style w:type="table" w:styleId="a0" w:customStyle="1">
    <w:basedOn w:val="TableNormal1"/>
    <w:tblPr>
      <w:tblStyleRowBandSize w:val="1"/>
      <w:tblStyleColBandSize w:val="1"/>
    </w:tblPr>
  </w:style>
  <w:style w:type="table" w:styleId="a1" w:customStyle="1">
    <w:basedOn w:val="TableNormal1"/>
    <w:tblPr>
      <w:tblStyleRowBandSize w:val="1"/>
      <w:tblStyleColBandSize w:val="1"/>
    </w:tblPr>
  </w:style>
  <w:style w:type="table" w:styleId="a2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  <w:tblStylePr w:type="firstRow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rPr>
        <w:b w:val="1"/>
        <w:color w:val="ffffff"/>
      </w:rPr>
      <w:tblPr/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firstCol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space="0" w:sz="0" w:val="nil"/>
        </w:tcBorders>
        <w:shd w:color="auto" w:fill="f79646" w:val="clear"/>
      </w:tcPr>
    </w:tblStylePr>
    <w:tblStylePr w:type="lastCol">
      <w:rPr>
        <w:b w:val="1"/>
        <w:color w:val="ffffff"/>
      </w:rPr>
      <w:tblPr/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space="0" w:sz="0" w:val="nil"/>
        </w:tcBorders>
        <w:shd w:color="auto" w:fill="f79646" w:val="clear"/>
      </w:tcPr>
    </w:tblStylePr>
    <w:tblStylePr w:type="band1Vert">
      <w:tblPr/>
      <w:tcPr>
        <w:shd w:color="auto" w:fill="fbd5b5" w:val="clear"/>
      </w:tcPr>
    </w:tblStylePr>
    <w:tblStylePr w:type="band1Horz">
      <w:tblPr/>
      <w:tcPr>
        <w:shd w:color="auto" w:fill="fbd5b5" w:val="clear"/>
      </w:tcPr>
    </w:tblStylePr>
  </w:style>
  <w:style w:type="table" w:styleId="a3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</w:style>
  <w:style w:type="table" w:styleId="a4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  <w:tblStylePr w:type="band1Horz">
      <w:tcPr>
        <w:shd w:fill="fbd5b5" w:val="clear"/>
      </w:tcPr>
    </w:tblStylePr>
    <w:tblStylePr w:type="band1Vert">
      <w:tcPr>
        <w:shd w:fill="fbd5b5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f79646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f79646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</w:style>
  <w:style w:type="table" w:styleId="Table2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  <w:style w:type="table" w:styleId="Table3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2.png"/><Relationship Id="rId21" Type="http://schemas.openxmlformats.org/officeDocument/2006/relationships/image" Target="media/image15.png"/><Relationship Id="rId24" Type="http://schemas.openxmlformats.org/officeDocument/2006/relationships/image" Target="media/image13.png"/><Relationship Id="rId23" Type="http://schemas.openxmlformats.org/officeDocument/2006/relationships/hyperlink" Target="mailto:donotreply@sircon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header" Target="header1.xml"/><Relationship Id="rId25" Type="http://schemas.openxmlformats.org/officeDocument/2006/relationships/image" Target="media/image9.png"/><Relationship Id="rId28" Type="http://schemas.openxmlformats.org/officeDocument/2006/relationships/header" Target="header2.xml"/><Relationship Id="rId27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footer" Target="footer3.xml"/><Relationship Id="rId7" Type="http://schemas.openxmlformats.org/officeDocument/2006/relationships/image" Target="media/image19.png"/><Relationship Id="rId8" Type="http://schemas.openxmlformats.org/officeDocument/2006/relationships/image" Target="media/image12.png"/><Relationship Id="rId31" Type="http://schemas.openxmlformats.org/officeDocument/2006/relationships/footer" Target="footer1.xml"/><Relationship Id="rId30" Type="http://schemas.openxmlformats.org/officeDocument/2006/relationships/footer" Target="footer2.xml"/><Relationship Id="rId11" Type="http://schemas.openxmlformats.org/officeDocument/2006/relationships/image" Target="media/image16.png"/><Relationship Id="rId10" Type="http://schemas.openxmlformats.org/officeDocument/2006/relationships/image" Target="media/image20.png"/><Relationship Id="rId13" Type="http://schemas.openxmlformats.org/officeDocument/2006/relationships/image" Target="media/image17.png"/><Relationship Id="rId12" Type="http://schemas.openxmlformats.org/officeDocument/2006/relationships/image" Target="media/image1.png"/><Relationship Id="rId15" Type="http://schemas.openxmlformats.org/officeDocument/2006/relationships/image" Target="media/image5.png"/><Relationship Id="rId14" Type="http://schemas.openxmlformats.org/officeDocument/2006/relationships/image" Target="media/image7.png"/><Relationship Id="rId17" Type="http://schemas.openxmlformats.org/officeDocument/2006/relationships/image" Target="media/image10.png"/><Relationship Id="rId16" Type="http://schemas.openxmlformats.org/officeDocument/2006/relationships/image" Target="media/image8.png"/><Relationship Id="rId19" Type="http://schemas.openxmlformats.org/officeDocument/2006/relationships/image" Target="media/image11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WorkSans-regular.ttf"/><Relationship Id="rId2" Type="http://schemas.openxmlformats.org/officeDocument/2006/relationships/font" Target="fonts/WorkSans-bold.ttf"/><Relationship Id="rId3" Type="http://schemas.openxmlformats.org/officeDocument/2006/relationships/font" Target="fonts/WorkSans-italic.ttf"/><Relationship Id="rId4" Type="http://schemas.openxmlformats.org/officeDocument/2006/relationships/font" Target="fonts/WorkSans-boldItalic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Relationship Id="rId2" Type="http://schemas.openxmlformats.org/officeDocument/2006/relationships/image" Target="media/image2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KGIukbLNBN43Xo8xRnzYdgsY7Q==">CgMxLjAyCWguMXQzaDVzZjIIaC5namRneHMyCWguMzBqMHpsbDIJaC4xZm9iOXRlMgloLjNyZGNyam4yCWguM3pueXNoNzIJaC4yZXQ5MnAwMghoLnR5amN3dDIJaC4zZHk2dmttOAByITFfYjA5ZjQ1cFFFUnFfRnJCUEtZaDBpWDg5ZnUwVG1XNQ==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2022-10-12T15:42:00Z</dcterms:created>
  <dc:creator>Juan Esteban BM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2020-10-16T00:00:00Z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2022-08-23T00:00:00Z</vt:filetime>
  </property>
</Properties>
</file>