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72"/>
            </w:tabs>
            <w:spacing w:before="8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OBJETIVO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ALCANCE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TÉRMINOS Y DEFINICIONES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right" w:leader="none" w:pos="9972"/>
            </w:tabs>
            <w:spacing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DOCUMENTOS DE REFERENCIA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972"/>
            </w:tabs>
            <w:spacing w:after="80" w:before="200" w:line="240" w:lineRule="auto"/>
            <w:ind w:left="0" w:firstLine="0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DESCRIPCIÓN</w:t>
            </w:r>
          </w:hyperlink>
          <w:r w:rsidDel="00000000" w:rsidR="00000000" w:rsidRPr="00000000"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Work Sans" w:cs="Work Sans" w:eastAsia="Work Sans" w:hAnsi="Work Sans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0F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2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4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6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HUMANA (MEDICARE), así como también completar la información del contrato en Salesforce. </w:t>
      </w:r>
    </w:p>
    <w:p w:rsidR="00000000" w:rsidDel="00000000" w:rsidP="00000000" w:rsidRDefault="00000000" w:rsidRPr="00000000" w14:paraId="0000001A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B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3rdcrjn" w:id="4"/>
      <w:bookmarkEnd w:id="4"/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C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5"/>
      <w:bookmarkEnd w:id="5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6"/>
      <w:bookmarkEnd w:id="6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DOCUMENTOS DE REFERENCIA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8"/>
      <w:bookmarkEnd w:id="8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HUMANA (MEDICARE)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(4) Select opp.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Ingresar al link: https://agency.agentxcelerator.com/Common/Home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User: 16001347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Password: Claro2022!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Ubicar el cursor sobre la pestaña de “producer Contracting” y pulsar send invitation.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277599</wp:posOffset>
            </wp:positionV>
            <wp:extent cx="4828223" cy="2723846"/>
            <wp:effectExtent b="0" l="0" r="0" t="0"/>
            <wp:wrapNone/>
            <wp:docPr id="1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8223" cy="27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72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72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Ingresar: Nombre, Apellido, NPN.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452938" cy="672484"/>
            <wp:effectExtent b="0" l="0" r="0" t="0"/>
            <wp:docPr id="14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672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Seleccionar: Carrier: Humana / Level: Agent. Los otros campos se seleccionarán por defecto en Corporation y All Insurance. Presionar “continue”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725353" cy="1749042"/>
            <wp:effectExtent b="0" l="0" r="0" t="0"/>
            <wp:docPr id="1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353" cy="1749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Ingresar: correo del agente y el subject del email debemos ingresarlo como se aprecia en la imagen: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Seleccionar option 1 y el botón open, esto hará que se abra Outlook en el sistema para enviar el correo.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5000625" cy="1862978"/>
            <wp:effectExtent b="0" l="0" r="0" t="0"/>
            <wp:docPr id="1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862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Verificar que la información es correcta y enviar.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457450" cy="1628814"/>
            <wp:effectExtent b="0" l="0" r="0" t="0"/>
            <wp:docPr id="1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2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nuevamente a Salesforce y cambiar el status a “Pending” y el sub stage a “on agent side”.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2209800" cy="904875"/>
            <wp:effectExtent b="0" l="0" r="0" t="0"/>
            <wp:docPr id="1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Agregar las notas a la oportunidad indicando que se le envió el onboarding al agente desde la plataforma xcelerator.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990975" cy="1032861"/>
            <wp:effectExtent b="0" l="0" r="0" t="0"/>
            <wp:docPr id="14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32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230"/>
      <w:gridCol w:w="1275"/>
      <w:tblGridChange w:id="0">
        <w:tblGrid>
          <w:gridCol w:w="2430"/>
          <w:gridCol w:w="5310"/>
          <w:gridCol w:w="1230"/>
          <w:gridCol w:w="1275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HUMANA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CM-IN-29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61">
          <w:pP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 1</w:t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4">
          <w:pP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6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9.png"/><Relationship Id="rId22" Type="http://schemas.openxmlformats.org/officeDocument/2006/relationships/footer" Target="footer2.xml"/><Relationship Id="rId10" Type="http://schemas.openxmlformats.org/officeDocument/2006/relationships/image" Target="media/image14.png"/><Relationship Id="rId21" Type="http://schemas.openxmlformats.org/officeDocument/2006/relationships/footer" Target="footer3.xml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5.png"/><Relationship Id="rId3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Hx5v0iBDzfPjmpEKIc28AlY+g==">CgMxLjAyCWguMXQzaDVzZjIIaC5namRneHMyCWguMzBqMHpsbDIJaC4xZm9iOXRlMgloLjNyZGNyam4yCWguM3pueXNoNzIJaC4yZXQ5MnAwMghoLnR5amN3dDIJaC4zZHk2dmttOAByITFhMnliYXlnal9TZTBrb0hvcm4zNTBRYjJMZEVmWjdGbg==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