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50"/>
            </w:tabs>
            <w:spacing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color w:val="000000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3. 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TÉRMINOS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widowControl w:val="1"/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CIGNA (SUPPLEMENTARY), así como también completar la información del contrato en Salesforce. </w:t>
      </w:r>
    </w:p>
    <w:p w:rsidR="00000000" w:rsidDel="00000000" w:rsidP="00000000" w:rsidRDefault="00000000" w:rsidRPr="00000000" w14:paraId="0000001B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znysh7" w:id="4"/>
      <w:bookmarkEnd w:id="4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tyjcwt" w:id="6"/>
      <w:bookmarkEnd w:id="6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RECOMENDACIONES GENERALES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Antes de iniciar cualquier aplicación con Aetna, asegurarse de que el agente tenga: SSN, DOB y dirección de residencia.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dy6vkm" w:id="7"/>
      <w:bookmarkEnd w:id="7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3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415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3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145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3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179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CIGNA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(SUPPLEMENTARY)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Entrar al xcelerator: </w:t>
      </w:r>
      <w:hyperlink r:id="rId11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https://agency.agentxcelerator.com/Common/Home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t xml:space="preserve">User: </w:t>
      </w: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17691914</w:t>
        <w:br w:type="textWrapping"/>
        <w:t xml:space="preserve">Password: </w:t>
      </w: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  <w:rtl w:val="0"/>
        </w:rPr>
        <w:t xml:space="preserve">Claro2022!</w:t>
      </w:r>
    </w:p>
    <w:p w:rsidR="00000000" w:rsidDel="00000000" w:rsidP="00000000" w:rsidRDefault="00000000" w:rsidRPr="00000000" w14:paraId="0000002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187904</wp:posOffset>
            </wp:positionV>
            <wp:extent cx="2951798" cy="2963652"/>
            <wp:effectExtent b="0" l="0" r="0" t="0"/>
            <wp:wrapSquare wrapText="bothSides" distB="114300" distT="114300" distL="114300" distR="114300"/>
            <wp:docPr id="1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798" cy="29636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Click en “send invitation”.</w:t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573078" cy="2638462"/>
            <wp:effectExtent b="0" l="0" r="0" t="0"/>
            <wp:docPr id="1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078" cy="263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Llenar con la información del agente:</w:t>
        <w:br w:type="textWrapping"/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520700"/>
            <wp:effectExtent b="0" l="0" r="0" t="0"/>
            <wp:docPr id="1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como se muestra a continuación y click en continuar: </w:t>
      </w:r>
    </w:p>
    <w:p w:rsidR="00000000" w:rsidDel="00000000" w:rsidP="00000000" w:rsidRDefault="00000000" w:rsidRPr="00000000" w14:paraId="0000004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810375" cy="2926690"/>
            <wp:effectExtent b="0" l="0" r="0" t="0"/>
            <wp:docPr id="1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292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Poner Email del agente y subject como se muestra a continuación. -&gt; click en open</w:t>
      </w:r>
    </w:p>
    <w:p w:rsidR="00000000" w:rsidDel="00000000" w:rsidP="00000000" w:rsidRDefault="00000000" w:rsidRPr="00000000" w14:paraId="0000004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1892300"/>
            <wp:effectExtent b="0" l="0" r="0" t="0"/>
            <wp:docPr id="1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Click en enviar y click en ok en el portal.</w:t>
      </w:r>
    </w:p>
    <w:p w:rsidR="00000000" w:rsidDel="00000000" w:rsidP="00000000" w:rsidRDefault="00000000" w:rsidRPr="00000000" w14:paraId="0000005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3721100"/>
            <wp:effectExtent b="0" l="0" r="0" t="0"/>
            <wp:docPr id="1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Dejar notas en la oportunidad y dejar la opp en pending - on agent side.</w:t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14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50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341"/>
      <w:tblGridChange w:id="0">
        <w:tblGrid>
          <w:gridCol w:w="2427"/>
          <w:gridCol w:w="5310"/>
          <w:gridCol w:w="1172"/>
          <w:gridCol w:w="1341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4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bookmarkStart w:colFirst="0" w:colLast="0" w:name="_heading=h.4d34og8" w:id="8"/>
          <w:bookmarkEnd w:id="8"/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CIGNA SUPPLEMENTARY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9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CM-IN-38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D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0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4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68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C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agency.agentxcelerator.com/Common/Home" TargetMode="External"/><Relationship Id="rId22" Type="http://schemas.openxmlformats.org/officeDocument/2006/relationships/footer" Target="footer2.xml"/><Relationship Id="rId10" Type="http://schemas.openxmlformats.org/officeDocument/2006/relationships/image" Target="media/image13.png"/><Relationship Id="rId21" Type="http://schemas.openxmlformats.org/officeDocument/2006/relationships/footer" Target="footer3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4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xYSJXX5EjuUSO3xKHfVVW56QHg==">CgMxLjAyCWguMXQzaDVzZjIIaC5namRneHMyCWguMzBqMHpsbDIJaC4xZm9iOXRlMgloLjN6bnlzaDcyCWguMmV0OTJwMDIIaC50eWpjd3QyCWguM2R5NnZrbTIJaC40ZDM0b2c4OAByITFhS0QzLTl2ZUNVR0w5LUY3X245NWdKZURYSVp2RGlsQw==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