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16" w:rsidRPr="000D625A" w:rsidRDefault="00812D16" w:rsidP="00204AAB">
      <w:pPr>
        <w:spacing w:line="240" w:lineRule="auto"/>
        <w:outlineLvl w:val="0"/>
        <w:rPr>
          <w:b/>
          <w:caps/>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szCs w:val="22"/>
          <w:lang w:val="nl-NL"/>
        </w:rPr>
      </w:pPr>
    </w:p>
    <w:p w:rsidR="006F6197" w:rsidRPr="000D625A" w:rsidRDefault="006F6197" w:rsidP="00204AAB">
      <w:pPr>
        <w:spacing w:line="240" w:lineRule="auto"/>
        <w:outlineLvl w:val="0"/>
        <w:rPr>
          <w:b/>
          <w:szCs w:val="22"/>
          <w:lang w:val="nl-NL"/>
        </w:rPr>
      </w:pPr>
    </w:p>
    <w:p w:rsidR="006F6197" w:rsidRPr="000D625A" w:rsidRDefault="006F6197"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szCs w:val="22"/>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outlineLvl w:val="0"/>
        <w:rPr>
          <w:b/>
          <w:lang w:val="nl-NL"/>
        </w:rPr>
      </w:pPr>
    </w:p>
    <w:p w:rsidR="00812D16" w:rsidRPr="000D625A" w:rsidRDefault="00812D16" w:rsidP="00204AAB">
      <w:pPr>
        <w:spacing w:line="240" w:lineRule="auto"/>
        <w:jc w:val="center"/>
        <w:outlineLvl w:val="0"/>
        <w:rPr>
          <w:lang w:val="nl-NL"/>
        </w:rPr>
      </w:pPr>
      <w:r w:rsidRPr="000D625A">
        <w:rPr>
          <w:b/>
          <w:bCs/>
          <w:lang w:val="nl-NL"/>
        </w:rPr>
        <w:t>BIJLAGE I</w:t>
      </w:r>
    </w:p>
    <w:p w:rsidR="00812D16" w:rsidRPr="000D625A" w:rsidRDefault="00812D16" w:rsidP="00204AAB">
      <w:pPr>
        <w:spacing w:line="240" w:lineRule="auto"/>
        <w:jc w:val="center"/>
        <w:outlineLvl w:val="0"/>
        <w:rPr>
          <w:lang w:val="nl-NL"/>
        </w:rPr>
      </w:pPr>
    </w:p>
    <w:p w:rsidR="00812D16" w:rsidRPr="000D625A" w:rsidRDefault="00812D16" w:rsidP="00204AAB">
      <w:pPr>
        <w:spacing w:line="240" w:lineRule="auto"/>
        <w:jc w:val="center"/>
        <w:outlineLvl w:val="0"/>
        <w:rPr>
          <w:lang w:val="nl-NL"/>
        </w:rPr>
      </w:pPr>
      <w:r w:rsidRPr="000D625A">
        <w:rPr>
          <w:b/>
          <w:bCs/>
          <w:lang w:val="nl-NL"/>
        </w:rPr>
        <w:t>SAMENVATTING VAN DE PRODUCTKENMERKEN</w:t>
      </w:r>
    </w:p>
    <w:p w:rsidR="00494B59" w:rsidRPr="005F7A4D" w:rsidRDefault="00812D16" w:rsidP="002649C8">
      <w:pPr>
        <w:spacing w:line="240" w:lineRule="auto"/>
        <w:rPr>
          <w:lang w:val="nl-NL"/>
        </w:rPr>
      </w:pPr>
      <w:r w:rsidRPr="000D625A">
        <w:rPr>
          <w:color w:val="008000"/>
          <w:lang w:val="nl-NL"/>
        </w:rPr>
        <w:br w:type="page"/>
      </w:r>
      <w:r w:rsidR="00C71C67">
        <w:rPr>
          <w:noProof/>
          <w:lang w:eastAsia="en-GB"/>
        </w:rPr>
        <w:lastRenderedPageBreak/>
        <w:drawing>
          <wp:inline distT="0" distB="0" distL="0" distR="0">
            <wp:extent cx="200025" cy="171450"/>
            <wp:effectExtent l="0" t="0" r="9525"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Pr="000D625A">
        <w:rPr>
          <w:szCs w:val="22"/>
          <w:lang w:val="nl-NL"/>
        </w:rPr>
        <w:t>Dit geneesmiddel is onderw</w:t>
      </w:r>
      <w:r w:rsidR="00404396">
        <w:rPr>
          <w:szCs w:val="22"/>
          <w:lang w:val="nl-NL"/>
        </w:rPr>
        <w:t>o</w:t>
      </w:r>
      <w:r w:rsidRPr="000D625A">
        <w:rPr>
          <w:szCs w:val="22"/>
          <w:lang w:val="nl-NL"/>
        </w:rPr>
        <w:t>rp</w:t>
      </w:r>
      <w:r w:rsidR="00404396">
        <w:rPr>
          <w:szCs w:val="22"/>
          <w:lang w:val="nl-NL"/>
        </w:rPr>
        <w:t>en</w:t>
      </w:r>
      <w:r w:rsidRPr="000D625A">
        <w:rPr>
          <w:szCs w:val="22"/>
          <w:lang w:val="nl-NL"/>
        </w:rPr>
        <w:t xml:space="preserve"> </w:t>
      </w:r>
      <w:r w:rsidR="00404396">
        <w:rPr>
          <w:szCs w:val="22"/>
          <w:lang w:val="nl-NL"/>
        </w:rPr>
        <w:t>a</w:t>
      </w:r>
      <w:r w:rsidRPr="000D625A">
        <w:rPr>
          <w:szCs w:val="22"/>
          <w:lang w:val="nl-NL"/>
        </w:rPr>
        <w:t xml:space="preserve">an aanvullende monitoring. Daardoor kan snel nieuwe veiligheidsinformatie worden vastgesteld. Beroepsbeoefenaren in de gezondheidszorg </w:t>
      </w:r>
      <w:r w:rsidRPr="00D64DA2">
        <w:rPr>
          <w:szCs w:val="22"/>
          <w:lang w:val="nl-NL"/>
        </w:rPr>
        <w:t>word</w:t>
      </w:r>
      <w:r w:rsidR="00CC04BE" w:rsidRPr="00D64DA2">
        <w:rPr>
          <w:szCs w:val="22"/>
          <w:lang w:val="nl-NL"/>
        </w:rPr>
        <w:t>en</w:t>
      </w:r>
      <w:r w:rsidRPr="000D625A">
        <w:rPr>
          <w:szCs w:val="22"/>
          <w:lang w:val="nl-NL"/>
        </w:rPr>
        <w:t xml:space="preserve"> verzocht </w:t>
      </w:r>
      <w:r w:rsidRPr="005F7A4D">
        <w:rPr>
          <w:szCs w:val="22"/>
          <w:lang w:val="nl-NL"/>
        </w:rPr>
        <w:t>alle vermoedelijke bijwerkingen te melden. Zie rubriek</w:t>
      </w:r>
      <w:r w:rsidR="006F6197" w:rsidRPr="005F7A4D">
        <w:rPr>
          <w:szCs w:val="22"/>
          <w:lang w:val="nl-NL"/>
        </w:rPr>
        <w:t> </w:t>
      </w:r>
      <w:r w:rsidRPr="005F7A4D">
        <w:rPr>
          <w:szCs w:val="22"/>
          <w:lang w:val="nl-NL"/>
        </w:rPr>
        <w:t xml:space="preserve">4.8 voor het rapporteren van bijwerkingen. </w:t>
      </w:r>
    </w:p>
    <w:p w:rsidR="00494B59" w:rsidRPr="005F7A4D" w:rsidRDefault="00494B59" w:rsidP="002649C8">
      <w:pPr>
        <w:spacing w:line="240" w:lineRule="auto"/>
        <w:rPr>
          <w:lang w:val="nl-NL"/>
        </w:rPr>
      </w:pPr>
    </w:p>
    <w:p w:rsidR="006F6197" w:rsidRPr="005F7A4D" w:rsidRDefault="006F6197" w:rsidP="002649C8">
      <w:pPr>
        <w:spacing w:line="240" w:lineRule="auto"/>
        <w:rPr>
          <w:lang w:val="nl-NL"/>
        </w:rPr>
      </w:pPr>
    </w:p>
    <w:p w:rsidR="00812D16" w:rsidRPr="000D625A" w:rsidRDefault="00812D16" w:rsidP="002649C8">
      <w:pPr>
        <w:spacing w:line="240" w:lineRule="auto"/>
        <w:rPr>
          <w:szCs w:val="22"/>
          <w:lang w:val="nl-NL"/>
        </w:rPr>
      </w:pPr>
      <w:r w:rsidRPr="000D625A">
        <w:rPr>
          <w:b/>
          <w:bCs/>
          <w:szCs w:val="22"/>
          <w:lang w:val="nl-NL"/>
        </w:rPr>
        <w:t>1.</w:t>
      </w:r>
      <w:r w:rsidRPr="000D625A">
        <w:rPr>
          <w:b/>
          <w:bCs/>
          <w:szCs w:val="22"/>
          <w:lang w:val="nl-NL"/>
        </w:rPr>
        <w:tab/>
        <w:t>NAAM VAN HET GENEESMIDDEL</w:t>
      </w:r>
    </w:p>
    <w:p w:rsidR="00812D16" w:rsidRPr="000D625A" w:rsidRDefault="00812D16" w:rsidP="00204AAB">
      <w:pPr>
        <w:spacing w:line="240" w:lineRule="auto"/>
        <w:rPr>
          <w:iCs/>
          <w:szCs w:val="22"/>
          <w:lang w:val="nl-NL"/>
        </w:rPr>
      </w:pPr>
    </w:p>
    <w:p w:rsidR="00821511" w:rsidRPr="000D625A" w:rsidRDefault="0089173D" w:rsidP="00821511">
      <w:pPr>
        <w:rPr>
          <w:szCs w:val="22"/>
          <w:lang w:val="nl-NL"/>
        </w:rPr>
      </w:pPr>
      <w:r w:rsidRPr="000D625A">
        <w:rPr>
          <w:szCs w:val="22"/>
          <w:lang w:val="nl-NL"/>
        </w:rPr>
        <w:t>REKOVELLE 12 microgram/0,36 ml oplossing voor injectie</w:t>
      </w:r>
    </w:p>
    <w:p w:rsidR="0072565A" w:rsidRPr="000D625A" w:rsidRDefault="00A86E8E" w:rsidP="0072565A">
      <w:pPr>
        <w:rPr>
          <w:szCs w:val="22"/>
          <w:highlight w:val="lightGray"/>
          <w:lang w:val="nl-NL"/>
        </w:rPr>
      </w:pPr>
      <w:r w:rsidRPr="000D625A">
        <w:rPr>
          <w:szCs w:val="22"/>
          <w:lang w:val="nl-NL"/>
        </w:rPr>
        <w:t>REKOVELLE 36 microgram/1,08 ml oplossing voor injectie</w:t>
      </w:r>
    </w:p>
    <w:p w:rsidR="0072565A" w:rsidRPr="000D625A" w:rsidRDefault="0072565A" w:rsidP="0072565A">
      <w:pPr>
        <w:rPr>
          <w:szCs w:val="22"/>
          <w:lang w:val="nl-NL"/>
        </w:rPr>
      </w:pPr>
      <w:r w:rsidRPr="000D625A">
        <w:rPr>
          <w:szCs w:val="22"/>
          <w:lang w:val="nl-NL"/>
        </w:rPr>
        <w:t>REKOVELLE 72 microgram/2,16 ml oplossing voor injectie</w:t>
      </w:r>
    </w:p>
    <w:p w:rsidR="00812D16" w:rsidRPr="000D625A" w:rsidRDefault="00812D16" w:rsidP="00204AAB">
      <w:pPr>
        <w:spacing w:line="240" w:lineRule="auto"/>
        <w:rPr>
          <w:iCs/>
          <w:szCs w:val="22"/>
          <w:lang w:val="nl-NL"/>
        </w:rPr>
      </w:pPr>
    </w:p>
    <w:p w:rsidR="005439EE" w:rsidRPr="000D625A" w:rsidRDefault="005439EE" w:rsidP="00204AAB">
      <w:pPr>
        <w:suppressAutoHyphens/>
        <w:spacing w:line="240" w:lineRule="auto"/>
        <w:ind w:left="567" w:hanging="567"/>
        <w:rPr>
          <w:b/>
          <w:bCs/>
          <w:szCs w:val="22"/>
          <w:lang w:val="nl-NL"/>
        </w:rPr>
      </w:pPr>
    </w:p>
    <w:p w:rsidR="00812D16" w:rsidRPr="000D625A" w:rsidRDefault="00812D16" w:rsidP="00204AAB">
      <w:pPr>
        <w:suppressAutoHyphens/>
        <w:spacing w:line="240" w:lineRule="auto"/>
        <w:ind w:left="567" w:hanging="567"/>
        <w:rPr>
          <w:szCs w:val="22"/>
          <w:lang w:val="nl-NL"/>
        </w:rPr>
      </w:pPr>
      <w:r w:rsidRPr="000D625A">
        <w:rPr>
          <w:b/>
          <w:bCs/>
          <w:szCs w:val="22"/>
          <w:lang w:val="nl-NL"/>
        </w:rPr>
        <w:t>2.</w:t>
      </w:r>
      <w:r w:rsidRPr="000D625A">
        <w:rPr>
          <w:b/>
          <w:bCs/>
          <w:szCs w:val="22"/>
          <w:lang w:val="nl-NL"/>
        </w:rPr>
        <w:tab/>
        <w:t>KWALITATIEVE EN KWANTITATIEVE SAMENSTELLING</w:t>
      </w:r>
    </w:p>
    <w:p w:rsidR="00812D16" w:rsidRPr="000D625A" w:rsidRDefault="00812D16" w:rsidP="00204AAB">
      <w:pPr>
        <w:spacing w:line="240" w:lineRule="auto"/>
        <w:rPr>
          <w:iCs/>
          <w:szCs w:val="22"/>
          <w:lang w:val="nl-NL"/>
        </w:rPr>
      </w:pPr>
    </w:p>
    <w:p w:rsidR="00821511" w:rsidRPr="000D625A" w:rsidRDefault="00A76F35" w:rsidP="00821511">
      <w:pPr>
        <w:rPr>
          <w:szCs w:val="22"/>
          <w:u w:val="single"/>
          <w:lang w:val="nl-NL"/>
        </w:rPr>
      </w:pPr>
      <w:r w:rsidRPr="000D625A">
        <w:rPr>
          <w:szCs w:val="22"/>
          <w:u w:val="single"/>
          <w:lang w:val="nl-NL"/>
        </w:rPr>
        <w:t>REKOVELLE 12 microgram/0,36 ml oplossing voor injectie</w:t>
      </w:r>
    </w:p>
    <w:p w:rsidR="00821511" w:rsidRPr="000D625A" w:rsidRDefault="00145618" w:rsidP="00821511">
      <w:pPr>
        <w:rPr>
          <w:szCs w:val="22"/>
          <w:lang w:val="nl-NL"/>
        </w:rPr>
      </w:pPr>
      <w:r w:rsidRPr="000D625A">
        <w:rPr>
          <w:szCs w:val="22"/>
          <w:lang w:val="nl-NL"/>
        </w:rPr>
        <w:t>E</w:t>
      </w:r>
      <w:r w:rsidR="00026BAB">
        <w:rPr>
          <w:szCs w:val="22"/>
          <w:lang w:val="nl-NL"/>
        </w:rPr>
        <w:t>é</w:t>
      </w:r>
      <w:r w:rsidRPr="000D625A">
        <w:rPr>
          <w:szCs w:val="22"/>
          <w:lang w:val="nl-NL"/>
        </w:rPr>
        <w:t xml:space="preserve">n </w:t>
      </w:r>
      <w:r w:rsidR="006F6197" w:rsidRPr="000D625A">
        <w:rPr>
          <w:szCs w:val="22"/>
          <w:lang w:val="nl-NL"/>
        </w:rPr>
        <w:t>multidos</w:t>
      </w:r>
      <w:r w:rsidR="00026BAB">
        <w:rPr>
          <w:szCs w:val="22"/>
          <w:lang w:val="nl-NL"/>
        </w:rPr>
        <w:t>erings</w:t>
      </w:r>
      <w:r w:rsidRPr="000D625A">
        <w:rPr>
          <w:szCs w:val="22"/>
          <w:lang w:val="nl-NL"/>
        </w:rPr>
        <w:t xml:space="preserve">patroon bevat 12 microgram </w:t>
      </w:r>
      <w:r w:rsidR="006F6197" w:rsidRPr="000D625A">
        <w:rPr>
          <w:szCs w:val="22"/>
          <w:lang w:val="nl-NL"/>
        </w:rPr>
        <w:t>follitropine</w:t>
      </w:r>
      <w:r w:rsidR="006615B4">
        <w:rPr>
          <w:szCs w:val="22"/>
          <w:lang w:val="nl-NL"/>
        </w:rPr>
        <w:t>-</w:t>
      </w:r>
      <w:r w:rsidR="006F6197" w:rsidRPr="000D625A">
        <w:rPr>
          <w:szCs w:val="22"/>
          <w:lang w:val="nl-NL"/>
        </w:rPr>
        <w:t xml:space="preserve">delta* </w:t>
      </w:r>
      <w:r w:rsidR="00026BAB">
        <w:rPr>
          <w:szCs w:val="22"/>
          <w:lang w:val="nl-NL"/>
        </w:rPr>
        <w:t>per</w:t>
      </w:r>
      <w:r w:rsidRPr="000D625A">
        <w:rPr>
          <w:szCs w:val="22"/>
          <w:lang w:val="nl-NL"/>
        </w:rPr>
        <w:t xml:space="preserve"> 0,36 ml</w:t>
      </w:r>
      <w:r w:rsidR="006A6372">
        <w:rPr>
          <w:szCs w:val="22"/>
          <w:lang w:val="nl-NL"/>
        </w:rPr>
        <w:t xml:space="preserve"> oplossing</w:t>
      </w:r>
      <w:r w:rsidRPr="000D625A">
        <w:rPr>
          <w:szCs w:val="22"/>
          <w:lang w:val="nl-NL"/>
        </w:rPr>
        <w:t>.</w:t>
      </w:r>
    </w:p>
    <w:p w:rsidR="007C4CA8" w:rsidRPr="000D625A" w:rsidRDefault="007C4CA8" w:rsidP="007C4CA8">
      <w:pPr>
        <w:rPr>
          <w:szCs w:val="22"/>
          <w:highlight w:val="lightGray"/>
          <w:u w:val="single"/>
          <w:lang w:val="nl-NL"/>
        </w:rPr>
      </w:pPr>
      <w:r w:rsidRPr="000D625A">
        <w:rPr>
          <w:szCs w:val="22"/>
          <w:u w:val="single"/>
          <w:lang w:val="nl-NL"/>
        </w:rPr>
        <w:t>REKOVELLE 36 microgram/1,08 ml oplossing voor injectie</w:t>
      </w:r>
    </w:p>
    <w:p w:rsidR="00821511" w:rsidRPr="000D625A" w:rsidRDefault="00145618" w:rsidP="00821511">
      <w:pPr>
        <w:rPr>
          <w:szCs w:val="22"/>
          <w:lang w:val="nl-NL"/>
        </w:rPr>
      </w:pPr>
      <w:r w:rsidRPr="000D625A">
        <w:rPr>
          <w:szCs w:val="22"/>
          <w:lang w:val="nl-NL"/>
        </w:rPr>
        <w:t>E</w:t>
      </w:r>
      <w:r w:rsidR="00026BAB">
        <w:rPr>
          <w:szCs w:val="22"/>
          <w:lang w:val="nl-NL"/>
        </w:rPr>
        <w:t>é</w:t>
      </w:r>
      <w:r w:rsidRPr="000D625A">
        <w:rPr>
          <w:szCs w:val="22"/>
          <w:lang w:val="nl-NL"/>
        </w:rPr>
        <w:t xml:space="preserve">n </w:t>
      </w:r>
      <w:r w:rsidR="006F6197" w:rsidRPr="000D625A">
        <w:rPr>
          <w:szCs w:val="22"/>
          <w:lang w:val="nl-NL"/>
        </w:rPr>
        <w:t>multidos</w:t>
      </w:r>
      <w:r w:rsidR="00026BAB">
        <w:rPr>
          <w:szCs w:val="22"/>
          <w:lang w:val="nl-NL"/>
        </w:rPr>
        <w:t>erings</w:t>
      </w:r>
      <w:r w:rsidRPr="000D625A">
        <w:rPr>
          <w:szCs w:val="22"/>
          <w:lang w:val="nl-NL"/>
        </w:rPr>
        <w:t xml:space="preserve">patroon bevat 36 microgram </w:t>
      </w:r>
      <w:r w:rsidR="006F6197" w:rsidRPr="000D625A">
        <w:rPr>
          <w:szCs w:val="22"/>
          <w:lang w:val="nl-NL"/>
        </w:rPr>
        <w:t>follitropine</w:t>
      </w:r>
      <w:r w:rsidR="006615B4">
        <w:rPr>
          <w:szCs w:val="22"/>
          <w:lang w:val="nl-NL"/>
        </w:rPr>
        <w:t>-</w:t>
      </w:r>
      <w:r w:rsidR="006F6197" w:rsidRPr="000D625A">
        <w:rPr>
          <w:szCs w:val="22"/>
          <w:lang w:val="nl-NL"/>
        </w:rPr>
        <w:t xml:space="preserve">delta* </w:t>
      </w:r>
      <w:r w:rsidR="00026BAB">
        <w:rPr>
          <w:szCs w:val="22"/>
          <w:lang w:val="nl-NL"/>
        </w:rPr>
        <w:t>per</w:t>
      </w:r>
      <w:r w:rsidRPr="000D625A">
        <w:rPr>
          <w:szCs w:val="22"/>
          <w:lang w:val="nl-NL"/>
        </w:rPr>
        <w:t xml:space="preserve"> 1,08 ml</w:t>
      </w:r>
      <w:r w:rsidR="006A6372">
        <w:rPr>
          <w:szCs w:val="22"/>
          <w:lang w:val="nl-NL"/>
        </w:rPr>
        <w:t xml:space="preserve"> oplossing</w:t>
      </w:r>
      <w:r w:rsidRPr="000D625A">
        <w:rPr>
          <w:szCs w:val="22"/>
          <w:lang w:val="nl-NL"/>
        </w:rPr>
        <w:t>.</w:t>
      </w:r>
    </w:p>
    <w:p w:rsidR="007C4CA8" w:rsidRPr="000D625A" w:rsidRDefault="007C4CA8" w:rsidP="007C4CA8">
      <w:pPr>
        <w:rPr>
          <w:szCs w:val="22"/>
          <w:u w:val="single"/>
          <w:lang w:val="nl-NL"/>
        </w:rPr>
      </w:pPr>
      <w:r w:rsidRPr="000D625A">
        <w:rPr>
          <w:szCs w:val="22"/>
          <w:u w:val="single"/>
          <w:lang w:val="nl-NL"/>
        </w:rPr>
        <w:t>REKOVELLE 72 microgram/2,16 ml oplossing voor injectie</w:t>
      </w:r>
    </w:p>
    <w:p w:rsidR="00821511" w:rsidRPr="000D625A" w:rsidRDefault="00145618" w:rsidP="00821511">
      <w:pPr>
        <w:rPr>
          <w:szCs w:val="22"/>
          <w:lang w:val="nl-NL"/>
        </w:rPr>
      </w:pPr>
      <w:r w:rsidRPr="000D625A">
        <w:rPr>
          <w:szCs w:val="22"/>
          <w:lang w:val="nl-NL"/>
        </w:rPr>
        <w:t>E</w:t>
      </w:r>
      <w:r w:rsidR="00026BAB">
        <w:rPr>
          <w:szCs w:val="22"/>
          <w:lang w:val="nl-NL"/>
        </w:rPr>
        <w:t>é</w:t>
      </w:r>
      <w:r w:rsidRPr="000D625A">
        <w:rPr>
          <w:szCs w:val="22"/>
          <w:lang w:val="nl-NL"/>
        </w:rPr>
        <w:t xml:space="preserve">n </w:t>
      </w:r>
      <w:r w:rsidR="006F6197" w:rsidRPr="000D625A">
        <w:rPr>
          <w:szCs w:val="22"/>
          <w:lang w:val="nl-NL"/>
        </w:rPr>
        <w:t>multidos</w:t>
      </w:r>
      <w:r w:rsidR="00026BAB">
        <w:rPr>
          <w:szCs w:val="22"/>
          <w:lang w:val="nl-NL"/>
        </w:rPr>
        <w:t>erings</w:t>
      </w:r>
      <w:r w:rsidRPr="000D625A">
        <w:rPr>
          <w:szCs w:val="22"/>
          <w:lang w:val="nl-NL"/>
        </w:rPr>
        <w:t xml:space="preserve">patroon bevat 72 microgram </w:t>
      </w:r>
      <w:r w:rsidR="006F6197" w:rsidRPr="000D625A">
        <w:rPr>
          <w:szCs w:val="22"/>
          <w:lang w:val="nl-NL"/>
        </w:rPr>
        <w:t>follitropine</w:t>
      </w:r>
      <w:r w:rsidR="006615B4">
        <w:rPr>
          <w:szCs w:val="22"/>
          <w:lang w:val="nl-NL"/>
        </w:rPr>
        <w:t>-</w:t>
      </w:r>
      <w:r w:rsidR="006F6197" w:rsidRPr="000D625A">
        <w:rPr>
          <w:szCs w:val="22"/>
          <w:lang w:val="nl-NL"/>
        </w:rPr>
        <w:t xml:space="preserve">delta* </w:t>
      </w:r>
      <w:r w:rsidR="00026BAB">
        <w:rPr>
          <w:szCs w:val="22"/>
          <w:lang w:val="nl-NL"/>
        </w:rPr>
        <w:t>per</w:t>
      </w:r>
      <w:r w:rsidRPr="000D625A">
        <w:rPr>
          <w:szCs w:val="22"/>
          <w:lang w:val="nl-NL"/>
        </w:rPr>
        <w:t xml:space="preserve"> 2,16 ml</w:t>
      </w:r>
      <w:r w:rsidR="006A6372">
        <w:rPr>
          <w:szCs w:val="22"/>
          <w:lang w:val="nl-NL"/>
        </w:rPr>
        <w:t xml:space="preserve"> oplossing</w:t>
      </w:r>
      <w:r w:rsidRPr="000D625A">
        <w:rPr>
          <w:szCs w:val="22"/>
          <w:lang w:val="nl-NL"/>
        </w:rPr>
        <w:t>.</w:t>
      </w:r>
    </w:p>
    <w:p w:rsidR="00821511" w:rsidRPr="000D625A" w:rsidRDefault="00821511" w:rsidP="00821511">
      <w:pPr>
        <w:rPr>
          <w:szCs w:val="22"/>
          <w:lang w:val="nl-NL"/>
        </w:rPr>
      </w:pPr>
    </w:p>
    <w:p w:rsidR="005439EE" w:rsidRPr="000D625A" w:rsidRDefault="005439EE" w:rsidP="005439EE">
      <w:pPr>
        <w:rPr>
          <w:bCs/>
          <w:szCs w:val="22"/>
          <w:lang w:val="nl-NL"/>
        </w:rPr>
      </w:pPr>
      <w:r w:rsidRPr="000D625A">
        <w:rPr>
          <w:szCs w:val="22"/>
          <w:lang w:val="nl-NL"/>
        </w:rPr>
        <w:t>E</w:t>
      </w:r>
      <w:r w:rsidR="00A52585">
        <w:rPr>
          <w:szCs w:val="22"/>
          <w:lang w:val="nl-NL"/>
        </w:rPr>
        <w:t>é</w:t>
      </w:r>
      <w:r w:rsidR="009A2C2D">
        <w:rPr>
          <w:szCs w:val="22"/>
          <w:lang w:val="nl-NL"/>
        </w:rPr>
        <w:t>n ml oplossing bevat 33,3 </w:t>
      </w:r>
      <w:r w:rsidRPr="000D625A">
        <w:rPr>
          <w:szCs w:val="22"/>
          <w:lang w:val="nl-NL"/>
        </w:rPr>
        <w:t>microgram follitropine</w:t>
      </w:r>
      <w:r w:rsidR="006615B4">
        <w:rPr>
          <w:szCs w:val="22"/>
          <w:lang w:val="nl-NL"/>
        </w:rPr>
        <w:t>-</w:t>
      </w:r>
      <w:r w:rsidRPr="000D625A">
        <w:rPr>
          <w:szCs w:val="22"/>
          <w:lang w:val="nl-NL"/>
        </w:rPr>
        <w:t>delta*</w:t>
      </w:r>
      <w:r w:rsidR="00026BAB">
        <w:rPr>
          <w:szCs w:val="22"/>
          <w:lang w:val="nl-NL"/>
        </w:rPr>
        <w:t>.</w:t>
      </w:r>
    </w:p>
    <w:p w:rsidR="00821511" w:rsidRPr="000D625A" w:rsidRDefault="00821511" w:rsidP="00821511">
      <w:pPr>
        <w:rPr>
          <w:szCs w:val="22"/>
          <w:lang w:val="nl-NL"/>
        </w:rPr>
      </w:pPr>
      <w:r w:rsidRPr="000D625A">
        <w:rPr>
          <w:szCs w:val="22"/>
          <w:lang w:val="nl-NL"/>
        </w:rPr>
        <w:t>*</w:t>
      </w:r>
      <w:r w:rsidR="00026BAB">
        <w:rPr>
          <w:szCs w:val="22"/>
          <w:lang w:val="nl-NL"/>
        </w:rPr>
        <w:t xml:space="preserve"> R</w:t>
      </w:r>
      <w:r w:rsidRPr="000D625A">
        <w:rPr>
          <w:szCs w:val="22"/>
          <w:lang w:val="nl-NL"/>
        </w:rPr>
        <w:t>ecombinant humaan follikelstimulerend hormoon (FSH) geproduceerd in een menselijke cellijn (PER.C6) door middel van recombinant</w:t>
      </w:r>
      <w:r w:rsidR="00B41519" w:rsidRPr="000D625A">
        <w:rPr>
          <w:szCs w:val="22"/>
          <w:lang w:val="nl-NL"/>
        </w:rPr>
        <w:noBreakHyphen/>
      </w:r>
      <w:r w:rsidRPr="000D625A">
        <w:rPr>
          <w:szCs w:val="22"/>
          <w:lang w:val="nl-NL"/>
        </w:rPr>
        <w:t>DNA</w:t>
      </w:r>
      <w:r w:rsidR="00B41519" w:rsidRPr="000D625A">
        <w:rPr>
          <w:szCs w:val="22"/>
          <w:lang w:val="nl-NL"/>
        </w:rPr>
        <w:noBreakHyphen/>
      </w:r>
      <w:r w:rsidRPr="000D625A">
        <w:rPr>
          <w:szCs w:val="22"/>
          <w:lang w:val="nl-NL"/>
        </w:rPr>
        <w:t>techn</w:t>
      </w:r>
      <w:r w:rsidR="008F600D">
        <w:rPr>
          <w:szCs w:val="22"/>
          <w:lang w:val="nl-NL"/>
        </w:rPr>
        <w:t>iek</w:t>
      </w:r>
      <w:r w:rsidRPr="000D625A">
        <w:rPr>
          <w:szCs w:val="22"/>
          <w:lang w:val="nl-NL"/>
        </w:rPr>
        <w:t>.</w:t>
      </w:r>
    </w:p>
    <w:p w:rsidR="00821511" w:rsidRPr="000D625A" w:rsidRDefault="00821511" w:rsidP="00821511">
      <w:pPr>
        <w:rPr>
          <w:szCs w:val="22"/>
          <w:lang w:val="nl-NL"/>
        </w:rPr>
      </w:pPr>
    </w:p>
    <w:p w:rsidR="00821511" w:rsidRPr="000D625A" w:rsidRDefault="00821511" w:rsidP="00821511">
      <w:pPr>
        <w:rPr>
          <w:szCs w:val="22"/>
          <w:lang w:val="nl-NL"/>
        </w:rPr>
      </w:pPr>
      <w:r w:rsidRPr="000D625A">
        <w:rPr>
          <w:szCs w:val="22"/>
          <w:lang w:val="nl-NL"/>
        </w:rPr>
        <w:t>Voor de volledige lijst van hulpstoffen, zie rubriek</w:t>
      </w:r>
      <w:r w:rsidR="005439EE" w:rsidRPr="000D625A">
        <w:rPr>
          <w:szCs w:val="22"/>
          <w:lang w:val="nl-NL"/>
        </w:rPr>
        <w:t> </w:t>
      </w:r>
      <w:r w:rsidRPr="000D625A">
        <w:rPr>
          <w:szCs w:val="22"/>
          <w:lang w:val="nl-NL"/>
        </w:rPr>
        <w:t>6.1.</w:t>
      </w:r>
    </w:p>
    <w:p w:rsidR="00812D16" w:rsidRPr="000D625A" w:rsidRDefault="00812D16" w:rsidP="00204AAB">
      <w:pPr>
        <w:spacing w:line="240" w:lineRule="auto"/>
        <w:rPr>
          <w:szCs w:val="22"/>
          <w:lang w:val="nl-NL"/>
        </w:rPr>
      </w:pPr>
    </w:p>
    <w:p w:rsidR="00735F64" w:rsidRPr="000D625A" w:rsidRDefault="00735F64" w:rsidP="00204AAB">
      <w:pPr>
        <w:spacing w:line="240" w:lineRule="auto"/>
        <w:rPr>
          <w:szCs w:val="22"/>
          <w:lang w:val="nl-NL"/>
        </w:rPr>
      </w:pPr>
    </w:p>
    <w:p w:rsidR="00812D16" w:rsidRPr="000D625A" w:rsidRDefault="00812D16" w:rsidP="00204AAB">
      <w:pPr>
        <w:suppressAutoHyphens/>
        <w:spacing w:line="240" w:lineRule="auto"/>
        <w:ind w:left="567" w:hanging="567"/>
        <w:rPr>
          <w:caps/>
          <w:szCs w:val="22"/>
          <w:lang w:val="nl-NL"/>
        </w:rPr>
      </w:pPr>
      <w:r w:rsidRPr="000D625A">
        <w:rPr>
          <w:b/>
          <w:bCs/>
          <w:szCs w:val="22"/>
          <w:lang w:val="nl-NL"/>
        </w:rPr>
        <w:t>3.</w:t>
      </w:r>
      <w:r w:rsidRPr="000D625A">
        <w:rPr>
          <w:b/>
          <w:bCs/>
          <w:szCs w:val="22"/>
          <w:lang w:val="nl-NL"/>
        </w:rPr>
        <w:tab/>
        <w:t>FARMACEUTISCHE VORM</w:t>
      </w:r>
    </w:p>
    <w:p w:rsidR="00812D16" w:rsidRPr="000D625A" w:rsidRDefault="00812D16" w:rsidP="00204AAB">
      <w:pPr>
        <w:spacing w:line="240" w:lineRule="auto"/>
        <w:rPr>
          <w:szCs w:val="22"/>
          <w:lang w:val="nl-NL"/>
        </w:rPr>
      </w:pPr>
    </w:p>
    <w:p w:rsidR="00413309" w:rsidRPr="000D625A" w:rsidRDefault="00413309" w:rsidP="00413309">
      <w:pPr>
        <w:rPr>
          <w:szCs w:val="22"/>
          <w:lang w:val="nl-NL"/>
        </w:rPr>
      </w:pPr>
      <w:r w:rsidRPr="000D625A">
        <w:rPr>
          <w:szCs w:val="22"/>
          <w:lang w:val="nl-NL"/>
        </w:rPr>
        <w:t xml:space="preserve">Oplossing voor injectie </w:t>
      </w:r>
      <w:r w:rsidR="005439EE" w:rsidRPr="000D625A">
        <w:rPr>
          <w:szCs w:val="22"/>
          <w:lang w:val="nl-NL"/>
        </w:rPr>
        <w:t>(injectie</w:t>
      </w:r>
      <w:r w:rsidR="00F3036E" w:rsidRPr="000D625A">
        <w:rPr>
          <w:szCs w:val="22"/>
          <w:lang w:val="nl-NL"/>
        </w:rPr>
        <w:t>vloeistof</w:t>
      </w:r>
      <w:r w:rsidR="005439EE" w:rsidRPr="000D625A">
        <w:rPr>
          <w:szCs w:val="22"/>
          <w:lang w:val="nl-NL"/>
        </w:rPr>
        <w:t>)</w:t>
      </w:r>
      <w:r w:rsidRPr="000D625A">
        <w:rPr>
          <w:szCs w:val="22"/>
          <w:lang w:val="nl-NL"/>
        </w:rPr>
        <w:t>.</w:t>
      </w:r>
    </w:p>
    <w:p w:rsidR="00413309" w:rsidRPr="000D625A" w:rsidRDefault="00413309" w:rsidP="00413309">
      <w:pPr>
        <w:rPr>
          <w:szCs w:val="22"/>
          <w:lang w:val="nl-NL"/>
        </w:rPr>
      </w:pPr>
    </w:p>
    <w:p w:rsidR="00EC289C" w:rsidRPr="000D625A" w:rsidRDefault="00413309" w:rsidP="00EC289C">
      <w:pPr>
        <w:rPr>
          <w:szCs w:val="22"/>
          <w:lang w:val="nl-NL"/>
        </w:rPr>
      </w:pPr>
      <w:r w:rsidRPr="000D625A">
        <w:rPr>
          <w:szCs w:val="22"/>
          <w:lang w:val="nl-NL"/>
        </w:rPr>
        <w:t>Heldere, kleurloze oplossing met een pH van 6,0</w:t>
      </w:r>
      <w:r w:rsidR="009A2C2D">
        <w:rPr>
          <w:szCs w:val="22"/>
          <w:lang w:val="nl-NL"/>
        </w:rPr>
        <w:noBreakHyphen/>
      </w:r>
      <w:r w:rsidRPr="000D625A">
        <w:rPr>
          <w:szCs w:val="22"/>
          <w:lang w:val="nl-NL"/>
        </w:rPr>
        <w:t>7,</w:t>
      </w:r>
      <w:r w:rsidR="005439EE" w:rsidRPr="000D625A">
        <w:rPr>
          <w:szCs w:val="22"/>
          <w:lang w:val="nl-NL"/>
        </w:rPr>
        <w:t>0</w:t>
      </w:r>
      <w:r w:rsidRPr="000D625A">
        <w:rPr>
          <w:szCs w:val="22"/>
          <w:lang w:val="nl-NL"/>
        </w:rPr>
        <w:t>.</w:t>
      </w:r>
    </w:p>
    <w:p w:rsidR="00413309" w:rsidRPr="000D625A" w:rsidRDefault="00413309" w:rsidP="00413309">
      <w:pPr>
        <w:rPr>
          <w:szCs w:val="22"/>
          <w:lang w:val="nl-NL"/>
        </w:rPr>
      </w:pPr>
    </w:p>
    <w:p w:rsidR="00735F64" w:rsidRPr="000D625A" w:rsidRDefault="00735F64" w:rsidP="00204AAB">
      <w:pPr>
        <w:spacing w:line="240" w:lineRule="auto"/>
        <w:rPr>
          <w:szCs w:val="22"/>
          <w:lang w:val="nl-NL"/>
        </w:rPr>
      </w:pPr>
    </w:p>
    <w:p w:rsidR="00812D16" w:rsidRPr="000D625A" w:rsidRDefault="00812D16" w:rsidP="00204AAB">
      <w:pPr>
        <w:suppressAutoHyphens/>
        <w:spacing w:line="240" w:lineRule="auto"/>
        <w:ind w:left="567" w:hanging="567"/>
        <w:rPr>
          <w:caps/>
          <w:szCs w:val="22"/>
          <w:lang w:val="nl-NL"/>
        </w:rPr>
      </w:pPr>
      <w:r w:rsidRPr="000D625A">
        <w:rPr>
          <w:b/>
          <w:bCs/>
          <w:caps/>
          <w:szCs w:val="22"/>
          <w:lang w:val="nl-NL"/>
        </w:rPr>
        <w:t>4.</w:t>
      </w:r>
      <w:r w:rsidRPr="000D625A">
        <w:rPr>
          <w:b/>
          <w:bCs/>
          <w:caps/>
          <w:szCs w:val="22"/>
          <w:lang w:val="nl-NL"/>
        </w:rPr>
        <w:tab/>
      </w:r>
      <w:r w:rsidRPr="000D625A">
        <w:rPr>
          <w:b/>
          <w:bCs/>
          <w:szCs w:val="22"/>
          <w:lang w:val="nl-NL"/>
        </w:rPr>
        <w:t>KLINISCHE GEGEVENS</w:t>
      </w:r>
    </w:p>
    <w:p w:rsidR="00812D16" w:rsidRPr="000D625A" w:rsidRDefault="00812D16" w:rsidP="00204AAB">
      <w:pPr>
        <w:spacing w:line="240" w:lineRule="auto"/>
        <w:rPr>
          <w:szCs w:val="22"/>
          <w:lang w:val="nl-NL"/>
        </w:rPr>
      </w:pPr>
    </w:p>
    <w:p w:rsidR="00812D16" w:rsidRPr="000D625A" w:rsidRDefault="00812D16" w:rsidP="00204AAB">
      <w:pPr>
        <w:spacing w:line="240" w:lineRule="auto"/>
        <w:ind w:left="567" w:hanging="567"/>
        <w:outlineLvl w:val="0"/>
        <w:rPr>
          <w:szCs w:val="22"/>
          <w:lang w:val="nl-NL"/>
        </w:rPr>
      </w:pPr>
      <w:r w:rsidRPr="000D625A">
        <w:rPr>
          <w:b/>
          <w:bCs/>
          <w:szCs w:val="22"/>
          <w:lang w:val="nl-NL"/>
        </w:rPr>
        <w:t>4.1</w:t>
      </w:r>
      <w:r w:rsidRPr="000D625A">
        <w:rPr>
          <w:b/>
          <w:bCs/>
          <w:szCs w:val="22"/>
          <w:lang w:val="nl-NL"/>
        </w:rPr>
        <w:tab/>
        <w:t>Therapeutische indicaties</w:t>
      </w:r>
    </w:p>
    <w:p w:rsidR="00812D16" w:rsidRPr="000D625A" w:rsidRDefault="00812D16" w:rsidP="00204AAB">
      <w:pPr>
        <w:spacing w:line="240" w:lineRule="auto"/>
        <w:rPr>
          <w:szCs w:val="22"/>
          <w:lang w:val="nl-NL"/>
        </w:rPr>
      </w:pPr>
    </w:p>
    <w:p w:rsidR="00812D16" w:rsidRPr="000D625A" w:rsidRDefault="00413309" w:rsidP="00204AAB">
      <w:pPr>
        <w:spacing w:line="240" w:lineRule="auto"/>
        <w:rPr>
          <w:szCs w:val="22"/>
          <w:lang w:val="nl-NL"/>
        </w:rPr>
      </w:pPr>
      <w:r w:rsidRPr="000D625A">
        <w:rPr>
          <w:szCs w:val="22"/>
          <w:lang w:val="nl-NL"/>
        </w:rPr>
        <w:t>Gecontroleerde ovariumstimulatie voor de ontwikkeling van meerdere follikels bij vrouwen die geassisteerde voortplantingstechnieken (ART) ondergaan, zoals een in</w:t>
      </w:r>
      <w:r w:rsidR="00B41519" w:rsidRPr="000D625A">
        <w:rPr>
          <w:szCs w:val="22"/>
          <w:lang w:val="nl-NL"/>
        </w:rPr>
        <w:noBreakHyphen/>
      </w:r>
      <w:r w:rsidRPr="000D625A">
        <w:rPr>
          <w:szCs w:val="22"/>
          <w:lang w:val="nl-NL"/>
        </w:rPr>
        <w:t>vitrofertilisatie</w:t>
      </w:r>
      <w:r w:rsidR="00B41519" w:rsidRPr="000D625A">
        <w:rPr>
          <w:szCs w:val="22"/>
          <w:lang w:val="nl-NL"/>
        </w:rPr>
        <w:noBreakHyphen/>
      </w:r>
      <w:r w:rsidRPr="000D625A">
        <w:rPr>
          <w:szCs w:val="22"/>
          <w:lang w:val="nl-NL"/>
        </w:rPr>
        <w:t xml:space="preserve"> (IVF) of </w:t>
      </w:r>
      <w:r w:rsidR="003A485A">
        <w:rPr>
          <w:szCs w:val="22"/>
          <w:lang w:val="nl-NL"/>
        </w:rPr>
        <w:t>i</w:t>
      </w:r>
      <w:r w:rsidR="003A485A" w:rsidRPr="003A485A">
        <w:rPr>
          <w:szCs w:val="22"/>
          <w:lang w:val="nl-NL"/>
        </w:rPr>
        <w:t xml:space="preserve">ntracytoplasmatische </w:t>
      </w:r>
      <w:r w:rsidRPr="000D625A">
        <w:rPr>
          <w:szCs w:val="22"/>
          <w:lang w:val="nl-NL"/>
        </w:rPr>
        <w:t>sperma</w:t>
      </w:r>
      <w:r w:rsidR="00B41519" w:rsidRPr="000D625A">
        <w:rPr>
          <w:szCs w:val="22"/>
          <w:lang w:val="nl-NL"/>
        </w:rPr>
        <w:noBreakHyphen/>
      </w:r>
      <w:r w:rsidRPr="000D625A">
        <w:rPr>
          <w:szCs w:val="22"/>
          <w:lang w:val="nl-NL"/>
        </w:rPr>
        <w:t>injectiecyclus (ICSI).</w:t>
      </w:r>
    </w:p>
    <w:p w:rsidR="005439EE" w:rsidRPr="007D307D" w:rsidRDefault="005439EE" w:rsidP="00204AAB">
      <w:pPr>
        <w:spacing w:line="240" w:lineRule="auto"/>
        <w:rPr>
          <w:szCs w:val="22"/>
          <w:lang w:val="nl-NL"/>
        </w:rPr>
      </w:pPr>
    </w:p>
    <w:p w:rsidR="005439EE" w:rsidRPr="006008DC" w:rsidRDefault="005439EE" w:rsidP="00204AAB">
      <w:pPr>
        <w:spacing w:line="240" w:lineRule="auto"/>
        <w:rPr>
          <w:color w:val="000000"/>
          <w:szCs w:val="22"/>
          <w:lang w:val="nl-NL"/>
        </w:rPr>
      </w:pPr>
      <w:r w:rsidRPr="006008DC">
        <w:rPr>
          <w:color w:val="000000"/>
          <w:szCs w:val="22"/>
          <w:lang w:val="nl-NL"/>
        </w:rPr>
        <w:t>Er is geen klinische onderzoekservaring met REKOVELLE in het lange GnRH</w:t>
      </w:r>
      <w:r w:rsidR="00B41519" w:rsidRPr="000D625A">
        <w:rPr>
          <w:color w:val="000000"/>
          <w:szCs w:val="22"/>
          <w:lang w:val="nl-NL"/>
        </w:rPr>
        <w:noBreakHyphen/>
      </w:r>
      <w:r w:rsidRPr="006008DC">
        <w:rPr>
          <w:color w:val="000000"/>
          <w:szCs w:val="22"/>
          <w:lang w:val="nl-NL"/>
        </w:rPr>
        <w:t>agonistprotocol</w:t>
      </w:r>
      <w:r w:rsidR="009A2C2D">
        <w:rPr>
          <w:color w:val="000000"/>
          <w:szCs w:val="22"/>
          <w:lang w:val="nl-NL"/>
        </w:rPr>
        <w:t xml:space="preserve"> (zie rubriek </w:t>
      </w:r>
      <w:r w:rsidR="00A52585">
        <w:rPr>
          <w:color w:val="000000"/>
          <w:szCs w:val="22"/>
          <w:lang w:val="nl-NL"/>
        </w:rPr>
        <w:t>5.1)</w:t>
      </w:r>
      <w:r w:rsidRPr="006008DC">
        <w:rPr>
          <w:color w:val="000000"/>
          <w:szCs w:val="22"/>
          <w:lang w:val="nl-NL"/>
        </w:rPr>
        <w:t>.</w:t>
      </w:r>
    </w:p>
    <w:p w:rsidR="00812D16" w:rsidRPr="000D625A" w:rsidRDefault="00812D16" w:rsidP="00204AAB">
      <w:pPr>
        <w:spacing w:line="240" w:lineRule="auto"/>
        <w:rPr>
          <w:szCs w:val="22"/>
          <w:lang w:val="nl-NL"/>
        </w:rPr>
      </w:pPr>
    </w:p>
    <w:p w:rsidR="00812D16" w:rsidRPr="000D625A" w:rsidRDefault="00855481" w:rsidP="00204AAB">
      <w:pPr>
        <w:spacing w:line="240" w:lineRule="auto"/>
        <w:outlineLvl w:val="0"/>
        <w:rPr>
          <w:b/>
          <w:szCs w:val="22"/>
          <w:lang w:val="nl-NL"/>
        </w:rPr>
      </w:pPr>
      <w:r w:rsidRPr="000D625A">
        <w:rPr>
          <w:b/>
          <w:bCs/>
          <w:szCs w:val="22"/>
          <w:lang w:val="nl-NL"/>
        </w:rPr>
        <w:t>4.2</w:t>
      </w:r>
      <w:r w:rsidRPr="000D625A">
        <w:rPr>
          <w:b/>
          <w:bCs/>
          <w:szCs w:val="22"/>
          <w:lang w:val="nl-NL"/>
        </w:rPr>
        <w:tab/>
        <w:t>Dosering en wijze van toediening</w:t>
      </w:r>
    </w:p>
    <w:p w:rsidR="00812D16" w:rsidRPr="000D625A" w:rsidRDefault="00812D16" w:rsidP="00204AAB">
      <w:pPr>
        <w:spacing w:line="240" w:lineRule="auto"/>
        <w:rPr>
          <w:szCs w:val="22"/>
          <w:lang w:val="nl-NL"/>
        </w:rPr>
      </w:pPr>
    </w:p>
    <w:p w:rsidR="00413309" w:rsidRPr="000D625A" w:rsidRDefault="00413309" w:rsidP="00413309">
      <w:pPr>
        <w:rPr>
          <w:szCs w:val="22"/>
          <w:lang w:val="nl-NL"/>
        </w:rPr>
      </w:pPr>
      <w:r w:rsidRPr="000D625A">
        <w:rPr>
          <w:szCs w:val="22"/>
          <w:lang w:val="nl-NL"/>
        </w:rPr>
        <w:t xml:space="preserve">De behandeling moet worden gestart onder toezicht van een arts die ervaring heeft met de behandeling van vruchtbaarheidsproblemen. </w:t>
      </w:r>
    </w:p>
    <w:p w:rsidR="00413309" w:rsidRPr="000D625A" w:rsidRDefault="00413309" w:rsidP="00204AAB">
      <w:pPr>
        <w:spacing w:line="240" w:lineRule="auto"/>
        <w:rPr>
          <w:szCs w:val="22"/>
          <w:lang w:val="nl-NL"/>
        </w:rPr>
      </w:pPr>
    </w:p>
    <w:p w:rsidR="00812D16" w:rsidRPr="000D625A" w:rsidRDefault="00812D16" w:rsidP="0072565A">
      <w:pPr>
        <w:keepNext/>
        <w:spacing w:line="240" w:lineRule="auto"/>
        <w:rPr>
          <w:szCs w:val="22"/>
          <w:u w:val="single"/>
          <w:lang w:val="nl-NL"/>
        </w:rPr>
      </w:pPr>
      <w:r w:rsidRPr="000D625A">
        <w:rPr>
          <w:szCs w:val="22"/>
          <w:u w:val="single"/>
          <w:lang w:val="nl-NL"/>
        </w:rPr>
        <w:t>Dosering</w:t>
      </w:r>
    </w:p>
    <w:p w:rsidR="00413309" w:rsidRPr="000D625A" w:rsidRDefault="00413309" w:rsidP="00413309">
      <w:pPr>
        <w:rPr>
          <w:color w:val="000000"/>
          <w:szCs w:val="22"/>
          <w:lang w:val="nl-NL"/>
        </w:rPr>
      </w:pPr>
      <w:r w:rsidRPr="000D625A">
        <w:rPr>
          <w:color w:val="000000"/>
          <w:szCs w:val="22"/>
          <w:lang w:val="nl-NL"/>
        </w:rPr>
        <w:t xml:space="preserve">De dosering van REKOVELLE wordt voor elke patiënt geïndividualiseerd </w:t>
      </w:r>
      <w:r w:rsidR="005439EE" w:rsidRPr="000D625A">
        <w:rPr>
          <w:color w:val="000000"/>
          <w:szCs w:val="22"/>
          <w:lang w:val="nl-NL"/>
        </w:rPr>
        <w:t xml:space="preserve">en heeft als doel </w:t>
      </w:r>
      <w:r w:rsidRPr="000D625A">
        <w:rPr>
          <w:color w:val="000000"/>
          <w:szCs w:val="22"/>
          <w:lang w:val="nl-NL"/>
        </w:rPr>
        <w:t xml:space="preserve">een ovariële respons te verkrijgen </w:t>
      </w:r>
      <w:r w:rsidR="005439EE" w:rsidRPr="000D625A">
        <w:rPr>
          <w:color w:val="000000"/>
          <w:szCs w:val="22"/>
          <w:lang w:val="nl-NL"/>
        </w:rPr>
        <w:t xml:space="preserve">die gepaard gaat </w:t>
      </w:r>
      <w:r w:rsidRPr="000D625A">
        <w:rPr>
          <w:color w:val="000000"/>
          <w:szCs w:val="22"/>
          <w:lang w:val="nl-NL"/>
        </w:rPr>
        <w:t>met een gunstig veiligheids</w:t>
      </w:r>
      <w:r w:rsidR="00B41519" w:rsidRPr="000D625A">
        <w:rPr>
          <w:color w:val="000000"/>
          <w:szCs w:val="22"/>
          <w:lang w:val="nl-NL"/>
        </w:rPr>
        <w:noBreakHyphen/>
      </w:r>
      <w:r w:rsidRPr="000D625A">
        <w:rPr>
          <w:color w:val="000000"/>
          <w:szCs w:val="22"/>
          <w:lang w:val="nl-NL"/>
        </w:rPr>
        <w:t>/werkzaamheidsprofiel</w:t>
      </w:r>
      <w:r w:rsidR="005439EE" w:rsidRPr="000D625A">
        <w:rPr>
          <w:color w:val="000000"/>
          <w:szCs w:val="22"/>
          <w:lang w:val="nl-NL"/>
        </w:rPr>
        <w:t xml:space="preserve">, d.w.z. voldoende aantal </w:t>
      </w:r>
      <w:r w:rsidR="00026BAB">
        <w:rPr>
          <w:color w:val="000000"/>
          <w:szCs w:val="22"/>
          <w:lang w:val="nl-NL"/>
        </w:rPr>
        <w:t xml:space="preserve">gewonnen </w:t>
      </w:r>
      <w:r w:rsidR="005439EE" w:rsidRPr="000D625A">
        <w:rPr>
          <w:color w:val="000000"/>
          <w:szCs w:val="22"/>
          <w:lang w:val="nl-NL"/>
        </w:rPr>
        <w:t>oöcyten</w:t>
      </w:r>
      <w:r w:rsidRPr="000D625A">
        <w:rPr>
          <w:color w:val="000000"/>
          <w:szCs w:val="22"/>
          <w:lang w:val="nl-NL"/>
        </w:rPr>
        <w:t xml:space="preserve"> </w:t>
      </w:r>
      <w:r w:rsidR="00026BAB">
        <w:rPr>
          <w:color w:val="000000"/>
          <w:szCs w:val="22"/>
          <w:lang w:val="nl-NL"/>
        </w:rPr>
        <w:t xml:space="preserve">bereiken </w:t>
      </w:r>
      <w:r w:rsidR="005439EE" w:rsidRPr="000D625A">
        <w:rPr>
          <w:color w:val="000000"/>
          <w:szCs w:val="22"/>
          <w:lang w:val="nl-NL"/>
        </w:rPr>
        <w:t xml:space="preserve">en ingrepen </w:t>
      </w:r>
      <w:r w:rsidR="00026BAB">
        <w:rPr>
          <w:color w:val="000000"/>
          <w:szCs w:val="22"/>
          <w:lang w:val="nl-NL"/>
        </w:rPr>
        <w:t xml:space="preserve">verminderen </w:t>
      </w:r>
      <w:r w:rsidR="005439EE" w:rsidRPr="000D625A">
        <w:rPr>
          <w:color w:val="000000"/>
          <w:szCs w:val="22"/>
          <w:lang w:val="nl-NL"/>
        </w:rPr>
        <w:t xml:space="preserve">om </w:t>
      </w:r>
      <w:r w:rsidR="005439EE" w:rsidRPr="00FC0E93">
        <w:rPr>
          <w:color w:val="000000"/>
          <w:szCs w:val="22"/>
          <w:lang w:val="nl-NL"/>
        </w:rPr>
        <w:t xml:space="preserve">ovarieel </w:t>
      </w:r>
      <w:r w:rsidR="005439EE" w:rsidRPr="00FC0E93">
        <w:rPr>
          <w:color w:val="000000"/>
          <w:szCs w:val="22"/>
          <w:lang w:val="nl-NL"/>
        </w:rPr>
        <w:lastRenderedPageBreak/>
        <w:t>hyperstimulatiesyndroom (OHSS) t</w:t>
      </w:r>
      <w:r w:rsidR="006A6372">
        <w:rPr>
          <w:color w:val="000000"/>
          <w:szCs w:val="22"/>
          <w:lang w:val="nl-NL"/>
        </w:rPr>
        <w:t>e voorkomen</w:t>
      </w:r>
      <w:r w:rsidRPr="000D625A">
        <w:rPr>
          <w:color w:val="000000"/>
          <w:szCs w:val="22"/>
          <w:lang w:val="nl-NL"/>
        </w:rPr>
        <w:t>. REKOVELLE is gedoseerd in microgram</w:t>
      </w:r>
      <w:r w:rsidR="008F600D">
        <w:rPr>
          <w:color w:val="000000"/>
          <w:szCs w:val="22"/>
          <w:lang w:val="nl-NL"/>
        </w:rPr>
        <w:t>men</w:t>
      </w:r>
      <w:r w:rsidRPr="000D625A">
        <w:rPr>
          <w:color w:val="000000"/>
          <w:szCs w:val="22"/>
          <w:lang w:val="nl-NL"/>
        </w:rPr>
        <w:t xml:space="preserve"> (zie rubriek</w:t>
      </w:r>
      <w:r w:rsidR="005439EE" w:rsidRPr="000D625A">
        <w:rPr>
          <w:color w:val="000000"/>
          <w:szCs w:val="22"/>
          <w:lang w:val="nl-NL"/>
        </w:rPr>
        <w:t> </w:t>
      </w:r>
      <w:r w:rsidRPr="000D625A">
        <w:rPr>
          <w:color w:val="000000"/>
          <w:szCs w:val="22"/>
          <w:lang w:val="nl-NL"/>
        </w:rPr>
        <w:t>5.1). Het doseringsschema is specifiek voor REKOVELLE en de dosis in microgram kan niet op andere gonadotrofinen worden toegepast.</w:t>
      </w:r>
    </w:p>
    <w:p w:rsidR="00413309" w:rsidRPr="000D625A" w:rsidRDefault="00413309" w:rsidP="00413309">
      <w:pPr>
        <w:rPr>
          <w:color w:val="000000"/>
          <w:szCs w:val="22"/>
          <w:lang w:val="nl-NL"/>
        </w:rPr>
      </w:pPr>
    </w:p>
    <w:p w:rsidR="00413309" w:rsidRPr="000D625A" w:rsidRDefault="00413309" w:rsidP="00413309">
      <w:pPr>
        <w:rPr>
          <w:color w:val="000000"/>
          <w:szCs w:val="22"/>
          <w:lang w:val="nl-NL"/>
        </w:rPr>
      </w:pPr>
      <w:r w:rsidRPr="000D625A">
        <w:rPr>
          <w:color w:val="000000"/>
          <w:szCs w:val="22"/>
          <w:lang w:val="nl-NL"/>
        </w:rPr>
        <w:t xml:space="preserve">Voor de eerste behandelingscyclus wordt de individuele dagelijkse dosis bepaald op basis van de </w:t>
      </w:r>
      <w:r w:rsidR="00026BAB">
        <w:rPr>
          <w:color w:val="000000"/>
          <w:szCs w:val="22"/>
          <w:lang w:val="nl-NL"/>
        </w:rPr>
        <w:t xml:space="preserve">serumspiegels van het </w:t>
      </w:r>
      <w:r w:rsidRPr="000D625A">
        <w:rPr>
          <w:color w:val="000000"/>
          <w:szCs w:val="22"/>
          <w:lang w:val="nl-NL"/>
        </w:rPr>
        <w:t>anti</w:t>
      </w:r>
      <w:r w:rsidR="00B41519" w:rsidRPr="000D625A">
        <w:rPr>
          <w:color w:val="000000"/>
          <w:szCs w:val="22"/>
          <w:lang w:val="nl-NL"/>
        </w:rPr>
        <w:noBreakHyphen/>
      </w:r>
      <w:r w:rsidRPr="000D625A">
        <w:rPr>
          <w:color w:val="000000"/>
          <w:szCs w:val="22"/>
          <w:lang w:val="nl-NL"/>
        </w:rPr>
        <w:t>Mülle</w:t>
      </w:r>
      <w:r w:rsidR="00F973CE">
        <w:rPr>
          <w:color w:val="000000"/>
          <w:szCs w:val="22"/>
          <w:lang w:val="nl-NL"/>
        </w:rPr>
        <w:t>r-h</w:t>
      </w:r>
      <w:r w:rsidRPr="000D625A">
        <w:rPr>
          <w:color w:val="000000"/>
          <w:szCs w:val="22"/>
          <w:lang w:val="nl-NL"/>
        </w:rPr>
        <w:t xml:space="preserve">ormoon (AMH) en het lichaamsgewicht van de vrouw. De dosis moet gebaseerd zijn op een recente </w:t>
      </w:r>
      <w:r w:rsidR="00026BAB">
        <w:rPr>
          <w:color w:val="000000"/>
          <w:szCs w:val="22"/>
          <w:lang w:val="nl-NL"/>
        </w:rPr>
        <w:t>AMH-</w:t>
      </w:r>
      <w:r w:rsidRPr="000D625A">
        <w:rPr>
          <w:color w:val="000000"/>
          <w:szCs w:val="22"/>
          <w:lang w:val="nl-NL"/>
        </w:rPr>
        <w:t>bepaling</w:t>
      </w:r>
      <w:r w:rsidR="009A2C2D">
        <w:rPr>
          <w:color w:val="000000"/>
          <w:szCs w:val="22"/>
          <w:lang w:val="nl-NL"/>
        </w:rPr>
        <w:t xml:space="preserve"> (d.w.z. binnen de afgelopen 12 </w:t>
      </w:r>
      <w:r w:rsidRPr="000D625A">
        <w:rPr>
          <w:color w:val="000000"/>
          <w:szCs w:val="22"/>
          <w:lang w:val="nl-NL"/>
        </w:rPr>
        <w:t>maanden)</w:t>
      </w:r>
      <w:r w:rsidR="00026BAB">
        <w:rPr>
          <w:color w:val="000000"/>
          <w:szCs w:val="22"/>
          <w:lang w:val="nl-NL"/>
        </w:rPr>
        <w:t>,</w:t>
      </w:r>
      <w:r w:rsidRPr="000D625A">
        <w:rPr>
          <w:color w:val="000000"/>
          <w:szCs w:val="22"/>
          <w:lang w:val="nl-NL"/>
        </w:rPr>
        <w:t xml:space="preserve"> gemeten met de volgende diagnostische test van Roche: </w:t>
      </w:r>
      <w:r w:rsidR="005439EE" w:rsidRPr="000D625A">
        <w:rPr>
          <w:color w:val="000000"/>
          <w:szCs w:val="22"/>
          <w:lang w:val="nl-NL"/>
        </w:rPr>
        <w:t>ELECSYS</w:t>
      </w:r>
      <w:r w:rsidRPr="000D625A">
        <w:rPr>
          <w:color w:val="000000"/>
          <w:szCs w:val="22"/>
          <w:lang w:val="nl-NL"/>
        </w:rPr>
        <w:t xml:space="preserve"> AMH Plus immunoassay</w:t>
      </w:r>
      <w:r w:rsidR="005439EE" w:rsidRPr="000D625A">
        <w:rPr>
          <w:color w:val="000000"/>
          <w:szCs w:val="22"/>
          <w:lang w:val="nl-NL"/>
        </w:rPr>
        <w:t xml:space="preserve"> (zie rubriek 4.4)</w:t>
      </w:r>
      <w:r w:rsidRPr="000D625A">
        <w:rPr>
          <w:color w:val="000000"/>
          <w:szCs w:val="22"/>
          <w:lang w:val="nl-NL"/>
        </w:rPr>
        <w:t xml:space="preserve">. De individuele dagelijkse dosis </w:t>
      </w:r>
      <w:r w:rsidR="00026BAB">
        <w:rPr>
          <w:color w:val="000000"/>
          <w:szCs w:val="22"/>
          <w:lang w:val="nl-NL"/>
        </w:rPr>
        <w:t xml:space="preserve">moet </w:t>
      </w:r>
      <w:r w:rsidRPr="000D625A">
        <w:rPr>
          <w:color w:val="000000"/>
          <w:szCs w:val="22"/>
          <w:lang w:val="nl-NL"/>
        </w:rPr>
        <w:t>de hele stimulatieperiode worden gehandhaafd. Voor vrouwen met AMH</w:t>
      </w:r>
      <w:r w:rsidR="005439EE" w:rsidRPr="000D625A">
        <w:rPr>
          <w:color w:val="000000"/>
          <w:szCs w:val="22"/>
          <w:lang w:val="nl-NL"/>
        </w:rPr>
        <w:t> </w:t>
      </w:r>
      <w:r w:rsidRPr="000D625A">
        <w:rPr>
          <w:lang w:val="nl-NL"/>
        </w:rPr>
        <w:t>&lt;</w:t>
      </w:r>
      <w:r w:rsidR="009A2C2D">
        <w:rPr>
          <w:lang w:val="nl-NL"/>
        </w:rPr>
        <w:t> </w:t>
      </w:r>
      <w:r w:rsidRPr="000D625A">
        <w:rPr>
          <w:color w:val="000000"/>
          <w:szCs w:val="22"/>
          <w:lang w:val="nl-NL"/>
        </w:rPr>
        <w:t>15 pmol/l is de dagelijkse dosis 12</w:t>
      </w:r>
      <w:r w:rsidR="005439EE" w:rsidRPr="000D625A">
        <w:rPr>
          <w:color w:val="000000"/>
          <w:szCs w:val="22"/>
          <w:lang w:val="nl-NL"/>
        </w:rPr>
        <w:t> </w:t>
      </w:r>
      <w:r w:rsidRPr="000D625A">
        <w:rPr>
          <w:color w:val="000000"/>
          <w:szCs w:val="22"/>
          <w:lang w:val="nl-NL"/>
        </w:rPr>
        <w:t>microgram, ongeacht hun lichaamsgewicht. Voor vrouwen met AMH</w:t>
      </w:r>
      <w:r w:rsidR="005439EE" w:rsidRPr="000D625A">
        <w:rPr>
          <w:color w:val="000000"/>
          <w:szCs w:val="22"/>
          <w:lang w:val="nl-NL"/>
        </w:rPr>
        <w:t> </w:t>
      </w:r>
      <w:r w:rsidRPr="000D625A">
        <w:rPr>
          <w:color w:val="000000"/>
          <w:szCs w:val="22"/>
          <w:lang w:val="nl-NL"/>
        </w:rPr>
        <w:t>≥</w:t>
      </w:r>
      <w:r w:rsidR="009A2C2D">
        <w:rPr>
          <w:color w:val="000000"/>
          <w:szCs w:val="22"/>
          <w:lang w:val="nl-NL"/>
        </w:rPr>
        <w:t> </w:t>
      </w:r>
      <w:r w:rsidRPr="000D625A">
        <w:rPr>
          <w:color w:val="000000"/>
          <w:szCs w:val="22"/>
          <w:lang w:val="nl-NL"/>
        </w:rPr>
        <w:t xml:space="preserve">15 pmol/l neemt </w:t>
      </w:r>
      <w:r w:rsidR="009A2C2D">
        <w:rPr>
          <w:color w:val="000000"/>
          <w:szCs w:val="22"/>
          <w:lang w:val="nl-NL"/>
        </w:rPr>
        <w:t xml:space="preserve">de dagelijkse dosis af van 0,19 </w:t>
      </w:r>
      <w:r w:rsidRPr="000D625A">
        <w:rPr>
          <w:color w:val="000000"/>
          <w:szCs w:val="22"/>
          <w:lang w:val="nl-NL"/>
        </w:rPr>
        <w:t>tot 0,10 microgram/kg bij een stijgende AMH</w:t>
      </w:r>
      <w:r w:rsidR="00B41519" w:rsidRPr="000D625A">
        <w:rPr>
          <w:color w:val="000000"/>
          <w:szCs w:val="22"/>
          <w:lang w:val="nl-NL"/>
        </w:rPr>
        <w:noBreakHyphen/>
      </w:r>
      <w:r w:rsidRPr="000D625A">
        <w:rPr>
          <w:color w:val="000000"/>
          <w:szCs w:val="22"/>
          <w:lang w:val="nl-NL"/>
        </w:rPr>
        <w:t>concentratie (tabel</w:t>
      </w:r>
      <w:r w:rsidR="00755E8B" w:rsidRPr="000D625A">
        <w:rPr>
          <w:color w:val="000000"/>
          <w:szCs w:val="22"/>
          <w:lang w:val="nl-NL"/>
        </w:rPr>
        <w:t> </w:t>
      </w:r>
      <w:r w:rsidRPr="000D625A">
        <w:rPr>
          <w:color w:val="000000"/>
          <w:szCs w:val="22"/>
          <w:lang w:val="nl-NL"/>
        </w:rPr>
        <w:t xml:space="preserve">1). De dosis </w:t>
      </w:r>
      <w:r w:rsidR="00026BAB">
        <w:rPr>
          <w:color w:val="000000"/>
          <w:szCs w:val="22"/>
          <w:lang w:val="nl-NL"/>
        </w:rPr>
        <w:t>moet</w:t>
      </w:r>
      <w:r w:rsidRPr="000D625A">
        <w:rPr>
          <w:color w:val="000000"/>
          <w:szCs w:val="22"/>
          <w:lang w:val="nl-NL"/>
        </w:rPr>
        <w:t xml:space="preserve"> worden afgerond t</w:t>
      </w:r>
      <w:r w:rsidR="009A2C2D">
        <w:rPr>
          <w:color w:val="000000"/>
          <w:szCs w:val="22"/>
          <w:lang w:val="nl-NL"/>
        </w:rPr>
        <w:t>ot op de dichtstbij</w:t>
      </w:r>
      <w:r w:rsidR="00F973CE">
        <w:rPr>
          <w:color w:val="000000"/>
          <w:szCs w:val="22"/>
          <w:lang w:val="nl-NL"/>
        </w:rPr>
        <w:t xml:space="preserve"> </w:t>
      </w:r>
      <w:r w:rsidR="009A2C2D">
        <w:rPr>
          <w:color w:val="000000"/>
          <w:szCs w:val="22"/>
          <w:lang w:val="nl-NL"/>
        </w:rPr>
        <w:t>gelegen 0,33 </w:t>
      </w:r>
      <w:r w:rsidRPr="000D625A">
        <w:rPr>
          <w:color w:val="000000"/>
          <w:szCs w:val="22"/>
          <w:lang w:val="nl-NL"/>
        </w:rPr>
        <w:t xml:space="preserve">microgram, zodat deze overeenkomt met de doseringsschaal op de injectiepen. De maximale dagelijkse dosis voor de eerste behandelingscyclus is 12 microgram. </w:t>
      </w:r>
    </w:p>
    <w:p w:rsidR="00413309" w:rsidRPr="000D625A" w:rsidRDefault="00413309" w:rsidP="00413309">
      <w:pPr>
        <w:rPr>
          <w:color w:val="000000"/>
          <w:szCs w:val="22"/>
          <w:lang w:val="nl-NL"/>
        </w:rPr>
      </w:pPr>
      <w:r w:rsidRPr="000D625A">
        <w:rPr>
          <w:color w:val="000000"/>
          <w:szCs w:val="22"/>
          <w:lang w:val="nl-NL"/>
        </w:rPr>
        <w:t xml:space="preserve">Voor </w:t>
      </w:r>
      <w:r w:rsidR="00026BAB">
        <w:rPr>
          <w:color w:val="000000"/>
          <w:szCs w:val="22"/>
          <w:lang w:val="nl-NL"/>
        </w:rPr>
        <w:t>de</w:t>
      </w:r>
      <w:r w:rsidRPr="000D625A">
        <w:rPr>
          <w:color w:val="000000"/>
          <w:szCs w:val="22"/>
          <w:lang w:val="nl-NL"/>
        </w:rPr>
        <w:t xml:space="preserve"> bereken</w:t>
      </w:r>
      <w:r w:rsidR="00026BAB">
        <w:rPr>
          <w:color w:val="000000"/>
          <w:szCs w:val="22"/>
          <w:lang w:val="nl-NL"/>
        </w:rPr>
        <w:t>ing</w:t>
      </w:r>
      <w:r w:rsidRPr="000D625A">
        <w:rPr>
          <w:color w:val="000000"/>
          <w:szCs w:val="22"/>
          <w:lang w:val="nl-NL"/>
        </w:rPr>
        <w:t xml:space="preserve"> van de dosis REKOVELLE </w:t>
      </w:r>
      <w:r w:rsidR="00026BAB">
        <w:rPr>
          <w:color w:val="000000"/>
          <w:szCs w:val="22"/>
          <w:lang w:val="nl-NL"/>
        </w:rPr>
        <w:t>moet</w:t>
      </w:r>
      <w:r w:rsidRPr="000D625A">
        <w:rPr>
          <w:color w:val="000000"/>
          <w:szCs w:val="22"/>
          <w:lang w:val="nl-NL"/>
        </w:rPr>
        <w:t xml:space="preserve"> het lichaamsgewicht worden gemeten zonder schoenen en jas, vlak v</w:t>
      </w:r>
      <w:r w:rsidR="00026BAB">
        <w:rPr>
          <w:color w:val="000000"/>
          <w:szCs w:val="22"/>
          <w:lang w:val="nl-NL"/>
        </w:rPr>
        <w:t>óó</w:t>
      </w:r>
      <w:r w:rsidRPr="000D625A">
        <w:rPr>
          <w:color w:val="000000"/>
          <w:szCs w:val="22"/>
          <w:lang w:val="nl-NL"/>
        </w:rPr>
        <w:t>r het begin van de stimulatie.</w:t>
      </w:r>
    </w:p>
    <w:p w:rsidR="00812D16" w:rsidRPr="000D625A" w:rsidRDefault="00812D16" w:rsidP="00204AAB">
      <w:pPr>
        <w:spacing w:line="240" w:lineRule="auto"/>
        <w:rPr>
          <w:szCs w:val="22"/>
          <w:lang w:val="nl-NL"/>
        </w:rPr>
      </w:pPr>
    </w:p>
    <w:p w:rsidR="00413309" w:rsidRPr="000D625A" w:rsidRDefault="00413309" w:rsidP="00413309">
      <w:pPr>
        <w:pStyle w:val="Caption"/>
        <w:rPr>
          <w:sz w:val="22"/>
          <w:lang w:val="nl-NL"/>
        </w:rPr>
      </w:pPr>
      <w:r w:rsidRPr="000D625A">
        <w:rPr>
          <w:sz w:val="22"/>
          <w:lang w:val="nl-NL"/>
        </w:rPr>
        <w:t xml:space="preserve">Tabel </w:t>
      </w:r>
      <w:r w:rsidRPr="000D625A">
        <w:rPr>
          <w:sz w:val="22"/>
          <w:lang w:val="nl-NL"/>
        </w:rPr>
        <w:fldChar w:fldCharType="begin"/>
      </w:r>
      <w:r w:rsidRPr="000D625A">
        <w:rPr>
          <w:sz w:val="22"/>
          <w:lang w:val="nl-NL"/>
        </w:rPr>
        <w:instrText xml:space="preserve"> SEQ Table \* ARABIC </w:instrText>
      </w:r>
      <w:r w:rsidRPr="000D625A">
        <w:rPr>
          <w:sz w:val="22"/>
          <w:lang w:val="nl-NL"/>
        </w:rPr>
        <w:fldChar w:fldCharType="separate"/>
      </w:r>
      <w:r w:rsidRPr="000D625A">
        <w:rPr>
          <w:sz w:val="22"/>
          <w:lang w:val="nl-NL"/>
        </w:rPr>
        <w:t>1</w:t>
      </w:r>
      <w:r w:rsidRPr="000D625A">
        <w:rPr>
          <w:sz w:val="22"/>
          <w:lang w:val="nl-NL"/>
        </w:rPr>
        <w:fldChar w:fldCharType="end"/>
      </w:r>
      <w:r w:rsidRPr="000D625A">
        <w:rPr>
          <w:sz w:val="22"/>
          <w:lang w:val="nl-NL"/>
        </w:rPr>
        <w:t xml:space="preserve"> Doseringsschema</w:t>
      </w:r>
      <w:r w:rsidRPr="000D625A">
        <w:rPr>
          <w:b w:val="0"/>
          <w:bCs w:val="0"/>
          <w:sz w:val="22"/>
          <w:lang w:val="nl-NL"/>
        </w:rPr>
        <w:t xml:space="preserve"> </w:t>
      </w:r>
    </w:p>
    <w:tbl>
      <w:tblPr>
        <w:tblW w:w="0" w:type="auto"/>
        <w:tblBorders>
          <w:bottom w:val="single" w:sz="4" w:space="0" w:color="auto"/>
          <w:insideH w:val="single" w:sz="4" w:space="0" w:color="auto"/>
        </w:tblBorders>
        <w:tblLook w:val="01E0" w:firstRow="1" w:lastRow="1" w:firstColumn="1" w:lastColumn="1" w:noHBand="0" w:noVBand="0"/>
      </w:tblPr>
      <w:tblGrid>
        <w:gridCol w:w="1940"/>
        <w:gridCol w:w="656"/>
        <w:gridCol w:w="664"/>
        <w:gridCol w:w="664"/>
        <w:gridCol w:w="664"/>
        <w:gridCol w:w="664"/>
        <w:gridCol w:w="664"/>
        <w:gridCol w:w="664"/>
        <w:gridCol w:w="664"/>
        <w:gridCol w:w="664"/>
        <w:gridCol w:w="664"/>
        <w:gridCol w:w="664"/>
      </w:tblGrid>
      <w:tr w:rsidR="00C211E1" w:rsidRPr="000D625A" w:rsidTr="00894C1A">
        <w:tc>
          <w:tcPr>
            <w:tcW w:w="1940" w:type="dxa"/>
            <w:tcBorders>
              <w:top w:val="single" w:sz="4" w:space="0" w:color="auto"/>
              <w:right w:val="single" w:sz="4" w:space="0" w:color="auto"/>
            </w:tcBorders>
            <w:shd w:val="clear" w:color="auto" w:fill="auto"/>
            <w:vAlign w:val="center"/>
          </w:tcPr>
          <w:p w:rsidR="00C211E1" w:rsidRPr="000D625A" w:rsidRDefault="00C211E1" w:rsidP="00FC0E93">
            <w:pPr>
              <w:pStyle w:val="BodyText"/>
              <w:keepNext/>
              <w:spacing w:before="80" w:after="80"/>
              <w:rPr>
                <w:b/>
                <w:i w:val="0"/>
                <w:color w:val="auto"/>
                <w:szCs w:val="22"/>
                <w:lang w:val="nl-NL"/>
              </w:rPr>
            </w:pPr>
            <w:r w:rsidRPr="000D625A">
              <w:rPr>
                <w:b/>
                <w:bCs/>
                <w:i w:val="0"/>
                <w:color w:val="auto"/>
                <w:szCs w:val="22"/>
                <w:lang w:val="nl-NL"/>
              </w:rPr>
              <w:t>AMH (</w:t>
            </w:r>
            <w:r w:rsidR="00FC0E93">
              <w:rPr>
                <w:b/>
                <w:bCs/>
                <w:i w:val="0"/>
                <w:color w:val="auto"/>
                <w:szCs w:val="22"/>
                <w:lang w:val="nl-NL"/>
              </w:rPr>
              <w:t>p</w:t>
            </w:r>
            <w:r w:rsidRPr="000D625A">
              <w:rPr>
                <w:b/>
                <w:bCs/>
                <w:i w:val="0"/>
                <w:color w:val="auto"/>
                <w:szCs w:val="22"/>
                <w:lang w:val="nl-NL"/>
              </w:rPr>
              <w:t>mol/l)</w:t>
            </w:r>
          </w:p>
        </w:tc>
        <w:tc>
          <w:tcPr>
            <w:tcW w:w="656" w:type="dxa"/>
            <w:tcBorders>
              <w:top w:val="single" w:sz="4" w:space="0" w:color="auto"/>
              <w:left w:val="single" w:sz="4" w:space="0" w:color="auto"/>
              <w:right w:val="dashed"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&lt;</w:t>
            </w:r>
            <w:r w:rsidR="009A2C2D">
              <w:rPr>
                <w:i w:val="0"/>
                <w:color w:val="auto"/>
                <w:szCs w:val="22"/>
                <w:lang w:val="nl-NL"/>
              </w:rPr>
              <w:t> </w:t>
            </w:r>
            <w:r w:rsidRPr="000D625A">
              <w:rPr>
                <w:i w:val="0"/>
                <w:color w:val="auto"/>
                <w:szCs w:val="22"/>
                <w:lang w:val="nl-NL"/>
              </w:rPr>
              <w:t>15</w:t>
            </w:r>
          </w:p>
        </w:tc>
        <w:tc>
          <w:tcPr>
            <w:tcW w:w="664" w:type="dxa"/>
            <w:tcBorders>
              <w:top w:val="single" w:sz="4" w:space="0" w:color="auto"/>
              <w:left w:val="dashed"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15</w:t>
            </w:r>
            <w:r w:rsidR="009A2C2D">
              <w:rPr>
                <w:i w:val="0"/>
                <w:color w:val="auto"/>
                <w:szCs w:val="22"/>
                <w:lang w:val="nl-NL"/>
              </w:rPr>
              <w:noBreakHyphen/>
            </w:r>
            <w:r w:rsidRPr="000D625A">
              <w:rPr>
                <w:i w:val="0"/>
                <w:color w:val="auto"/>
                <w:szCs w:val="22"/>
                <w:lang w:val="nl-NL"/>
              </w:rPr>
              <w:t>16</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17</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18</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19</w:t>
            </w:r>
            <w:r w:rsidR="009A2C2D">
              <w:rPr>
                <w:i w:val="0"/>
                <w:color w:val="auto"/>
                <w:szCs w:val="22"/>
                <w:lang w:val="nl-NL"/>
              </w:rPr>
              <w:noBreakHyphen/>
            </w:r>
            <w:r w:rsidRPr="000D625A">
              <w:rPr>
                <w:i w:val="0"/>
                <w:color w:val="auto"/>
                <w:szCs w:val="22"/>
                <w:lang w:val="nl-NL"/>
              </w:rPr>
              <w:t>20</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21</w:t>
            </w:r>
            <w:r w:rsidR="009A2C2D">
              <w:rPr>
                <w:i w:val="0"/>
                <w:color w:val="auto"/>
                <w:szCs w:val="22"/>
                <w:lang w:val="nl-NL"/>
              </w:rPr>
              <w:noBreakHyphen/>
            </w:r>
            <w:r w:rsidRPr="000D625A">
              <w:rPr>
                <w:i w:val="0"/>
                <w:color w:val="auto"/>
                <w:szCs w:val="22"/>
                <w:lang w:val="nl-NL"/>
              </w:rPr>
              <w:t>22</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23</w:t>
            </w:r>
            <w:r w:rsidR="009A2C2D">
              <w:rPr>
                <w:i w:val="0"/>
                <w:color w:val="auto"/>
                <w:szCs w:val="22"/>
                <w:lang w:val="nl-NL"/>
              </w:rPr>
              <w:noBreakHyphen/>
            </w:r>
            <w:r w:rsidRPr="000D625A">
              <w:rPr>
                <w:i w:val="0"/>
                <w:color w:val="auto"/>
                <w:szCs w:val="22"/>
                <w:lang w:val="nl-NL"/>
              </w:rPr>
              <w:t>24</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25</w:t>
            </w:r>
            <w:r w:rsidR="009A2C2D">
              <w:rPr>
                <w:i w:val="0"/>
                <w:color w:val="auto"/>
                <w:szCs w:val="22"/>
                <w:lang w:val="nl-NL"/>
              </w:rPr>
              <w:noBreakHyphen/>
            </w:r>
            <w:r w:rsidRPr="000D625A">
              <w:rPr>
                <w:i w:val="0"/>
                <w:color w:val="auto"/>
                <w:szCs w:val="22"/>
                <w:lang w:val="nl-NL"/>
              </w:rPr>
              <w:t>27</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28</w:t>
            </w:r>
            <w:r w:rsidR="009A2C2D">
              <w:rPr>
                <w:i w:val="0"/>
                <w:color w:val="auto"/>
                <w:szCs w:val="22"/>
                <w:lang w:val="nl-NL"/>
              </w:rPr>
              <w:noBreakHyphen/>
            </w:r>
            <w:r w:rsidRPr="000D625A">
              <w:rPr>
                <w:i w:val="0"/>
                <w:color w:val="auto"/>
                <w:szCs w:val="22"/>
                <w:lang w:val="nl-NL"/>
              </w:rPr>
              <w:t>32</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33</w:t>
            </w:r>
            <w:r w:rsidR="009A2C2D">
              <w:rPr>
                <w:i w:val="0"/>
                <w:color w:val="auto"/>
                <w:szCs w:val="22"/>
                <w:lang w:val="nl-NL"/>
              </w:rPr>
              <w:noBreakHyphen/>
            </w:r>
            <w:r w:rsidRPr="000D625A">
              <w:rPr>
                <w:i w:val="0"/>
                <w:color w:val="auto"/>
                <w:szCs w:val="22"/>
                <w:lang w:val="nl-NL"/>
              </w:rPr>
              <w:t>39</w:t>
            </w:r>
          </w:p>
        </w:tc>
        <w:tc>
          <w:tcPr>
            <w:tcW w:w="664" w:type="dxa"/>
            <w:tcBorders>
              <w:top w:val="single" w:sz="4" w:space="0" w:color="auto"/>
            </w:tcBorders>
            <w:shd w:val="clear" w:color="auto" w:fill="auto"/>
            <w:tcMar>
              <w:left w:w="57" w:type="dxa"/>
              <w:right w:w="57" w:type="dxa"/>
            </w:tcMar>
            <w:vAlign w:val="center"/>
          </w:tcPr>
          <w:p w:rsidR="00C211E1" w:rsidRPr="000D625A" w:rsidRDefault="00C211E1" w:rsidP="0093556B">
            <w:pPr>
              <w:pStyle w:val="BodyText"/>
              <w:keepNext/>
              <w:spacing w:before="80" w:after="80"/>
              <w:jc w:val="center"/>
              <w:rPr>
                <w:i w:val="0"/>
                <w:color w:val="auto"/>
                <w:szCs w:val="22"/>
                <w:lang w:val="nl-NL"/>
              </w:rPr>
            </w:pPr>
            <w:r w:rsidRPr="000D625A">
              <w:rPr>
                <w:i w:val="0"/>
                <w:color w:val="auto"/>
                <w:szCs w:val="22"/>
                <w:lang w:val="nl-NL"/>
              </w:rPr>
              <w:t>≥</w:t>
            </w:r>
            <w:r w:rsidR="009A2C2D">
              <w:rPr>
                <w:i w:val="0"/>
                <w:color w:val="auto"/>
                <w:szCs w:val="22"/>
                <w:lang w:val="nl-NL"/>
              </w:rPr>
              <w:t> </w:t>
            </w:r>
            <w:r w:rsidRPr="000D625A">
              <w:rPr>
                <w:i w:val="0"/>
                <w:color w:val="auto"/>
                <w:szCs w:val="22"/>
                <w:lang w:val="nl-NL"/>
              </w:rPr>
              <w:t>40</w:t>
            </w:r>
          </w:p>
        </w:tc>
      </w:tr>
      <w:tr w:rsidR="00755E8B" w:rsidRPr="000D625A" w:rsidTr="00894C1A">
        <w:tc>
          <w:tcPr>
            <w:tcW w:w="1940" w:type="dxa"/>
            <w:vMerge w:val="restart"/>
            <w:tcBorders>
              <w:top w:val="single" w:sz="4" w:space="0" w:color="auto"/>
              <w:right w:val="single" w:sz="4" w:space="0" w:color="auto"/>
            </w:tcBorders>
            <w:vAlign w:val="center"/>
          </w:tcPr>
          <w:p w:rsidR="00755E8B" w:rsidRPr="000D625A" w:rsidRDefault="00755E8B" w:rsidP="00294C06">
            <w:pPr>
              <w:pStyle w:val="BodyText"/>
              <w:keepNext/>
              <w:spacing w:before="80" w:after="80"/>
              <w:rPr>
                <w:b/>
                <w:i w:val="0"/>
                <w:color w:val="auto"/>
                <w:szCs w:val="22"/>
                <w:lang w:val="nl-NL"/>
              </w:rPr>
            </w:pPr>
            <w:r w:rsidRPr="000D625A">
              <w:rPr>
                <w:b/>
                <w:bCs/>
                <w:i w:val="0"/>
                <w:color w:val="auto"/>
                <w:szCs w:val="22"/>
                <w:lang w:val="nl-NL"/>
              </w:rPr>
              <w:t xml:space="preserve">Vaste dagelijkse dosis REKOVELLE </w:t>
            </w:r>
          </w:p>
        </w:tc>
        <w:tc>
          <w:tcPr>
            <w:tcW w:w="656" w:type="dxa"/>
            <w:tcBorders>
              <w:top w:val="single" w:sz="4" w:space="0" w:color="auto"/>
              <w:left w:val="single" w:sz="4" w:space="0" w:color="auto"/>
              <w:bottom w:val="single" w:sz="4" w:space="0" w:color="auto"/>
              <w:right w:val="dashed" w:sz="4" w:space="0" w:color="auto"/>
            </w:tcBorders>
            <w:tcMar>
              <w:left w:w="57" w:type="dxa"/>
              <w:right w:w="57" w:type="dxa"/>
            </w:tcMar>
            <w:vAlign w:val="center"/>
          </w:tcPr>
          <w:p w:rsidR="00755E8B" w:rsidRPr="000D625A" w:rsidRDefault="00755E8B" w:rsidP="00294C06">
            <w:pPr>
              <w:pStyle w:val="BodyText"/>
              <w:keepNext/>
              <w:spacing w:before="80" w:after="80"/>
              <w:jc w:val="center"/>
              <w:rPr>
                <w:i w:val="0"/>
                <w:color w:val="auto"/>
                <w:szCs w:val="22"/>
                <w:lang w:val="nl-NL"/>
              </w:rPr>
            </w:pPr>
            <w:r w:rsidRPr="000D625A">
              <w:rPr>
                <w:i w:val="0"/>
                <w:color w:val="auto"/>
                <w:szCs w:val="22"/>
                <w:lang w:val="nl-NL"/>
              </w:rPr>
              <w:t>12</w:t>
            </w:r>
          </w:p>
        </w:tc>
        <w:tc>
          <w:tcPr>
            <w:tcW w:w="664" w:type="dxa"/>
            <w:tcBorders>
              <w:left w:val="dashed" w:sz="4" w:space="0" w:color="auto"/>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 xml:space="preserve">0,19 </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0,18</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0,17</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0,16</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0,15</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0,14</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0,13</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0,12</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0,11</w:t>
            </w:r>
          </w:p>
        </w:tc>
        <w:tc>
          <w:tcPr>
            <w:tcW w:w="664" w:type="dxa"/>
            <w:tcBorders>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0,10</w:t>
            </w:r>
          </w:p>
        </w:tc>
      </w:tr>
      <w:tr w:rsidR="00755E8B" w:rsidRPr="000D625A" w:rsidTr="00894C1A">
        <w:tc>
          <w:tcPr>
            <w:tcW w:w="1940" w:type="dxa"/>
            <w:vMerge/>
            <w:tcBorders>
              <w:bottom w:val="single" w:sz="4" w:space="0" w:color="auto"/>
              <w:right w:val="single" w:sz="4" w:space="0" w:color="auto"/>
            </w:tcBorders>
            <w:vAlign w:val="center"/>
          </w:tcPr>
          <w:p w:rsidR="00755E8B" w:rsidRPr="000D625A" w:rsidRDefault="00755E8B" w:rsidP="00043E99">
            <w:pPr>
              <w:pStyle w:val="BodyText"/>
              <w:keepNext/>
              <w:spacing w:before="80" w:after="80"/>
              <w:rPr>
                <w:b/>
                <w:bCs/>
                <w:i w:val="0"/>
                <w:color w:val="auto"/>
                <w:szCs w:val="22"/>
                <w:lang w:val="nl-NL"/>
              </w:rPr>
            </w:pPr>
          </w:p>
        </w:tc>
        <w:tc>
          <w:tcPr>
            <w:tcW w:w="656" w:type="dxa"/>
            <w:tcBorders>
              <w:top w:val="single" w:sz="4" w:space="0" w:color="auto"/>
              <w:left w:val="single" w:sz="4" w:space="0" w:color="auto"/>
              <w:bottom w:val="single" w:sz="4" w:space="0" w:color="auto"/>
              <w:right w:val="dashed" w:sz="4" w:space="0" w:color="auto"/>
            </w:tcBorders>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mcg</w:t>
            </w:r>
          </w:p>
        </w:tc>
        <w:tc>
          <w:tcPr>
            <w:tcW w:w="6640" w:type="dxa"/>
            <w:gridSpan w:val="10"/>
            <w:tcBorders>
              <w:left w:val="dashed" w:sz="4" w:space="0" w:color="auto"/>
              <w:bottom w:val="single" w:sz="4" w:space="0" w:color="auto"/>
            </w:tcBorders>
            <w:shd w:val="clear" w:color="auto" w:fill="auto"/>
            <w:tcMar>
              <w:left w:w="57" w:type="dxa"/>
              <w:right w:w="57" w:type="dxa"/>
            </w:tcMar>
            <w:vAlign w:val="center"/>
          </w:tcPr>
          <w:p w:rsidR="00755E8B" w:rsidRPr="000D625A" w:rsidRDefault="00755E8B" w:rsidP="0093556B">
            <w:pPr>
              <w:pStyle w:val="BodyText"/>
              <w:keepNext/>
              <w:spacing w:before="80" w:after="80"/>
              <w:jc w:val="center"/>
              <w:rPr>
                <w:i w:val="0"/>
                <w:color w:val="auto"/>
                <w:szCs w:val="22"/>
                <w:lang w:val="nl-NL"/>
              </w:rPr>
            </w:pPr>
            <w:r w:rsidRPr="000D625A">
              <w:rPr>
                <w:i w:val="0"/>
                <w:color w:val="auto"/>
                <w:szCs w:val="22"/>
                <w:lang w:val="nl-NL"/>
              </w:rPr>
              <w:t>mcg/kg</w:t>
            </w:r>
          </w:p>
        </w:tc>
      </w:tr>
      <w:tr w:rsidR="00C211E1" w:rsidRPr="00C71C67" w:rsidTr="00D94FAF">
        <w:tc>
          <w:tcPr>
            <w:tcW w:w="9236" w:type="dxa"/>
            <w:gridSpan w:val="12"/>
            <w:tcBorders>
              <w:top w:val="single" w:sz="4" w:space="0" w:color="auto"/>
              <w:bottom w:val="nil"/>
            </w:tcBorders>
            <w:vAlign w:val="center"/>
          </w:tcPr>
          <w:p w:rsidR="00C211E1" w:rsidRPr="000D625A" w:rsidRDefault="00C211E1" w:rsidP="00894C1A">
            <w:pPr>
              <w:pStyle w:val="BodyText"/>
              <w:keepNext/>
              <w:spacing w:before="80" w:after="80"/>
              <w:rPr>
                <w:i w:val="0"/>
                <w:color w:val="auto"/>
                <w:sz w:val="20"/>
                <w:lang w:val="nl-NL"/>
              </w:rPr>
            </w:pPr>
            <w:r w:rsidRPr="00A7195A">
              <w:rPr>
                <w:i w:val="0"/>
                <w:color w:val="auto"/>
                <w:lang w:val="nl-NL"/>
              </w:rPr>
              <w:t>De AMH</w:t>
            </w:r>
            <w:r w:rsidR="00B41519" w:rsidRPr="00A7195A">
              <w:rPr>
                <w:i w:val="0"/>
                <w:color w:val="auto"/>
                <w:lang w:val="nl-NL"/>
              </w:rPr>
              <w:noBreakHyphen/>
            </w:r>
            <w:r w:rsidRPr="00A7195A">
              <w:rPr>
                <w:i w:val="0"/>
                <w:color w:val="auto"/>
                <w:lang w:val="nl-NL"/>
              </w:rPr>
              <w:t xml:space="preserve">concentratie </w:t>
            </w:r>
            <w:r w:rsidR="00450B6C" w:rsidRPr="00A7195A">
              <w:rPr>
                <w:i w:val="0"/>
                <w:color w:val="auto"/>
                <w:lang w:val="nl-NL"/>
              </w:rPr>
              <w:t>moet</w:t>
            </w:r>
            <w:r w:rsidRPr="00A7195A">
              <w:rPr>
                <w:i w:val="0"/>
                <w:color w:val="auto"/>
                <w:lang w:val="nl-NL"/>
              </w:rPr>
              <w:t xml:space="preserve"> worden uitgedrukt in pmol/l en worden afgerond tot op het </w:t>
            </w:r>
            <w:r w:rsidRPr="00EA65C5">
              <w:rPr>
                <w:i w:val="0"/>
                <w:color w:val="auto"/>
                <w:lang w:val="nl-NL"/>
              </w:rPr>
              <w:t>dichtstbij</w:t>
            </w:r>
            <w:r w:rsidR="00F973CE">
              <w:rPr>
                <w:i w:val="0"/>
                <w:color w:val="auto"/>
                <w:lang w:val="nl-NL"/>
              </w:rPr>
              <w:t xml:space="preserve"> </w:t>
            </w:r>
            <w:r w:rsidRPr="00EA65C5">
              <w:rPr>
                <w:i w:val="0"/>
                <w:color w:val="auto"/>
                <w:lang w:val="nl-NL"/>
              </w:rPr>
              <w:t>gelegen</w:t>
            </w:r>
            <w:r w:rsidRPr="00A7195A">
              <w:rPr>
                <w:i w:val="0"/>
                <w:color w:val="auto"/>
                <w:lang w:val="nl-NL"/>
              </w:rPr>
              <w:t xml:space="preserve"> gehele getal. Als de AMH</w:t>
            </w:r>
            <w:r w:rsidR="00B41519" w:rsidRPr="00A7195A">
              <w:rPr>
                <w:i w:val="0"/>
                <w:color w:val="auto"/>
                <w:lang w:val="nl-NL"/>
              </w:rPr>
              <w:noBreakHyphen/>
            </w:r>
            <w:r w:rsidRPr="00A7195A">
              <w:rPr>
                <w:i w:val="0"/>
                <w:color w:val="auto"/>
                <w:lang w:val="nl-NL"/>
              </w:rPr>
              <w:t>concentratie in ng/ml is, moet de concentratie v</w:t>
            </w:r>
            <w:r w:rsidR="00404396" w:rsidRPr="00A7195A">
              <w:rPr>
                <w:i w:val="0"/>
                <w:color w:val="auto"/>
                <w:lang w:val="nl-NL"/>
              </w:rPr>
              <w:t>óó</w:t>
            </w:r>
            <w:r w:rsidRPr="00A7195A">
              <w:rPr>
                <w:i w:val="0"/>
                <w:color w:val="auto"/>
                <w:lang w:val="nl-NL"/>
              </w:rPr>
              <w:t>r gebruik worden omgerekend in pmol/l door vermenigvuldiging met 7,14 (ng/ml</w:t>
            </w:r>
            <w:r w:rsidR="00755E8B" w:rsidRPr="00A7195A">
              <w:rPr>
                <w:i w:val="0"/>
                <w:color w:val="auto"/>
                <w:lang w:val="nl-NL"/>
              </w:rPr>
              <w:t> </w:t>
            </w:r>
            <w:r w:rsidRPr="00A7195A">
              <w:rPr>
                <w:i w:val="0"/>
                <w:color w:val="auto"/>
                <w:lang w:val="nl-NL"/>
              </w:rPr>
              <w:t>x</w:t>
            </w:r>
            <w:r w:rsidR="00755E8B" w:rsidRPr="00A7195A">
              <w:rPr>
                <w:i w:val="0"/>
                <w:color w:val="auto"/>
                <w:lang w:val="nl-NL"/>
              </w:rPr>
              <w:t> </w:t>
            </w:r>
            <w:r w:rsidRPr="00A7195A">
              <w:rPr>
                <w:i w:val="0"/>
                <w:color w:val="auto"/>
                <w:lang w:val="nl-NL"/>
              </w:rPr>
              <w:t>7,14</w:t>
            </w:r>
            <w:r w:rsidR="00755E8B" w:rsidRPr="00A7195A">
              <w:rPr>
                <w:i w:val="0"/>
                <w:color w:val="auto"/>
                <w:lang w:val="nl-NL"/>
              </w:rPr>
              <w:t> </w:t>
            </w:r>
            <w:r w:rsidRPr="00A7195A">
              <w:rPr>
                <w:i w:val="0"/>
                <w:color w:val="auto"/>
                <w:lang w:val="nl-NL"/>
              </w:rPr>
              <w:t>=</w:t>
            </w:r>
            <w:r w:rsidR="00755E8B" w:rsidRPr="00A7195A">
              <w:rPr>
                <w:i w:val="0"/>
                <w:color w:val="auto"/>
                <w:lang w:val="nl-NL"/>
              </w:rPr>
              <w:t> </w:t>
            </w:r>
            <w:r w:rsidRPr="00A7195A">
              <w:rPr>
                <w:i w:val="0"/>
                <w:color w:val="auto"/>
                <w:lang w:val="nl-NL"/>
              </w:rPr>
              <w:t>pmol/l).</w:t>
            </w:r>
            <w:r w:rsidR="00755E8B" w:rsidRPr="000D625A">
              <w:rPr>
                <w:i w:val="0"/>
                <w:color w:val="auto"/>
                <w:sz w:val="20"/>
                <w:lang w:val="nl-NL"/>
              </w:rPr>
              <w:br/>
              <w:t>mcg: microgram</w:t>
            </w:r>
          </w:p>
        </w:tc>
      </w:tr>
    </w:tbl>
    <w:p w:rsidR="00C211E1" w:rsidRPr="00FC0E93" w:rsidRDefault="00C211E1" w:rsidP="00D94FAF">
      <w:pPr>
        <w:pStyle w:val="BodyText"/>
        <w:rPr>
          <w:i w:val="0"/>
          <w:color w:val="auto"/>
          <w:lang w:val="nl-NL"/>
        </w:rPr>
      </w:pPr>
    </w:p>
    <w:p w:rsidR="00413309" w:rsidRPr="000D625A" w:rsidRDefault="00F1064B" w:rsidP="00413309">
      <w:pPr>
        <w:rPr>
          <w:szCs w:val="22"/>
          <w:lang w:val="nl-NL"/>
        </w:rPr>
      </w:pPr>
      <w:r w:rsidRPr="000D625A">
        <w:rPr>
          <w:szCs w:val="22"/>
          <w:lang w:val="nl-NL"/>
        </w:rPr>
        <w:t xml:space="preserve">De behandeling met REKOVELLE </w:t>
      </w:r>
      <w:r w:rsidR="00450B6C">
        <w:rPr>
          <w:szCs w:val="22"/>
          <w:lang w:val="nl-NL"/>
        </w:rPr>
        <w:t>moet</w:t>
      </w:r>
      <w:r w:rsidR="009A2C2D">
        <w:rPr>
          <w:szCs w:val="22"/>
          <w:lang w:val="nl-NL"/>
        </w:rPr>
        <w:t xml:space="preserve"> 2 of 3 </w:t>
      </w:r>
      <w:r w:rsidRPr="000D625A">
        <w:rPr>
          <w:szCs w:val="22"/>
          <w:lang w:val="nl-NL"/>
        </w:rPr>
        <w:t>dagen na het begin van de menstruatie worden gestart en worden voortgezet tot een adequate folli</w:t>
      </w:r>
      <w:r w:rsidR="00450B6C">
        <w:rPr>
          <w:szCs w:val="22"/>
          <w:lang w:val="nl-NL"/>
        </w:rPr>
        <w:t>kel</w:t>
      </w:r>
      <w:r w:rsidRPr="000D625A">
        <w:rPr>
          <w:szCs w:val="22"/>
          <w:lang w:val="nl-NL"/>
        </w:rPr>
        <w:t>ontwikkeling (≥</w:t>
      </w:r>
      <w:r w:rsidR="009A2C2D">
        <w:rPr>
          <w:szCs w:val="22"/>
          <w:lang w:val="nl-NL"/>
        </w:rPr>
        <w:t> </w:t>
      </w:r>
      <w:r w:rsidRPr="000D625A">
        <w:rPr>
          <w:szCs w:val="22"/>
          <w:lang w:val="nl-NL"/>
        </w:rPr>
        <w:t>3 follikels ≥</w:t>
      </w:r>
      <w:r w:rsidR="009A2C2D">
        <w:rPr>
          <w:szCs w:val="22"/>
          <w:lang w:val="nl-NL"/>
        </w:rPr>
        <w:t> </w:t>
      </w:r>
      <w:r w:rsidRPr="000D625A">
        <w:rPr>
          <w:szCs w:val="22"/>
          <w:lang w:val="nl-NL"/>
        </w:rPr>
        <w:t>17 mm) is bereikt, wat gemiddeld op de negende dag van de behandeling het geval is (</w:t>
      </w:r>
      <w:r w:rsidR="00FC0E93">
        <w:rPr>
          <w:szCs w:val="22"/>
          <w:lang w:val="nl-NL"/>
        </w:rPr>
        <w:t>variërend van</w:t>
      </w:r>
      <w:r w:rsidRPr="000D625A">
        <w:rPr>
          <w:szCs w:val="22"/>
          <w:lang w:val="nl-NL"/>
        </w:rPr>
        <w:t xml:space="preserve"> 5 tot 20 dagen). Er wordt één injectie van 250 microgram recombinant humaan choriongonadotrofine (hCG) of 5</w:t>
      </w:r>
      <w:r w:rsidR="009A2C2D">
        <w:rPr>
          <w:szCs w:val="22"/>
          <w:lang w:val="nl-NL"/>
        </w:rPr>
        <w:t>.</w:t>
      </w:r>
      <w:r w:rsidRPr="000D625A">
        <w:rPr>
          <w:szCs w:val="22"/>
          <w:lang w:val="nl-NL"/>
        </w:rPr>
        <w:t xml:space="preserve">000 IE hCG toegediend om </w:t>
      </w:r>
      <w:r w:rsidR="00776FCE">
        <w:rPr>
          <w:szCs w:val="22"/>
          <w:lang w:val="nl-NL"/>
        </w:rPr>
        <w:t>het</w:t>
      </w:r>
      <w:r w:rsidRPr="000D625A">
        <w:rPr>
          <w:szCs w:val="22"/>
          <w:lang w:val="nl-NL"/>
        </w:rPr>
        <w:t xml:space="preserve"> </w:t>
      </w:r>
      <w:r w:rsidR="00193BCB">
        <w:rPr>
          <w:szCs w:val="22"/>
          <w:lang w:val="nl-NL"/>
        </w:rPr>
        <w:t>la</w:t>
      </w:r>
      <w:r w:rsidR="00776FCE">
        <w:rPr>
          <w:szCs w:val="22"/>
          <w:lang w:val="nl-NL"/>
        </w:rPr>
        <w:t>atste stadium</w:t>
      </w:r>
      <w:r w:rsidR="00193BCB">
        <w:rPr>
          <w:szCs w:val="22"/>
          <w:lang w:val="nl-NL"/>
        </w:rPr>
        <w:t xml:space="preserve"> van de</w:t>
      </w:r>
      <w:r w:rsidR="00193BCB" w:rsidRPr="000D625A">
        <w:rPr>
          <w:szCs w:val="22"/>
          <w:lang w:val="nl-NL"/>
        </w:rPr>
        <w:t xml:space="preserve"> </w:t>
      </w:r>
      <w:r w:rsidRPr="000D625A">
        <w:rPr>
          <w:szCs w:val="22"/>
          <w:lang w:val="nl-NL"/>
        </w:rPr>
        <w:t xml:space="preserve">follikelrijping </w:t>
      </w:r>
      <w:r w:rsidR="00193BCB">
        <w:rPr>
          <w:szCs w:val="22"/>
          <w:lang w:val="nl-NL"/>
        </w:rPr>
        <w:t>te induceren</w:t>
      </w:r>
      <w:r w:rsidRPr="000D625A">
        <w:rPr>
          <w:szCs w:val="22"/>
          <w:lang w:val="nl-NL"/>
        </w:rPr>
        <w:t>. Bij patiënten met een overmatige follikelontwikkeling (&gt;</w:t>
      </w:r>
      <w:r w:rsidR="009A2C2D">
        <w:rPr>
          <w:szCs w:val="22"/>
          <w:lang w:val="nl-NL"/>
        </w:rPr>
        <w:t> </w:t>
      </w:r>
      <w:r w:rsidRPr="000D625A">
        <w:rPr>
          <w:szCs w:val="22"/>
          <w:lang w:val="nl-NL"/>
        </w:rPr>
        <w:t>25</w:t>
      </w:r>
      <w:r w:rsidR="00755E8B" w:rsidRPr="000D625A">
        <w:rPr>
          <w:szCs w:val="22"/>
          <w:lang w:val="nl-NL"/>
        </w:rPr>
        <w:t> </w:t>
      </w:r>
      <w:r w:rsidRPr="000D625A">
        <w:rPr>
          <w:szCs w:val="22"/>
          <w:lang w:val="nl-NL"/>
        </w:rPr>
        <w:t>follikels ≥</w:t>
      </w:r>
      <w:r w:rsidR="009A2C2D">
        <w:rPr>
          <w:szCs w:val="22"/>
          <w:lang w:val="nl-NL"/>
        </w:rPr>
        <w:t> </w:t>
      </w:r>
      <w:r w:rsidRPr="000D625A">
        <w:rPr>
          <w:szCs w:val="22"/>
          <w:lang w:val="nl-NL"/>
        </w:rPr>
        <w:t xml:space="preserve">12 mm) moet de behandeling met REKOVELLE gestopt worden en </w:t>
      </w:r>
      <w:r w:rsidR="00450B6C">
        <w:rPr>
          <w:szCs w:val="22"/>
          <w:lang w:val="nl-NL"/>
        </w:rPr>
        <w:t xml:space="preserve">mag </w:t>
      </w:r>
      <w:r w:rsidRPr="000D625A">
        <w:rPr>
          <w:szCs w:val="22"/>
          <w:lang w:val="nl-NL"/>
        </w:rPr>
        <w:t xml:space="preserve">er geen </w:t>
      </w:r>
      <w:r w:rsidR="00193BCB">
        <w:rPr>
          <w:szCs w:val="22"/>
          <w:lang w:val="nl-NL"/>
        </w:rPr>
        <w:t>inductie</w:t>
      </w:r>
      <w:r w:rsidR="00193BCB" w:rsidRPr="000D625A">
        <w:rPr>
          <w:szCs w:val="22"/>
          <w:lang w:val="nl-NL"/>
        </w:rPr>
        <w:t xml:space="preserve"> </w:t>
      </w:r>
      <w:r w:rsidRPr="000D625A">
        <w:rPr>
          <w:szCs w:val="22"/>
          <w:lang w:val="nl-NL"/>
        </w:rPr>
        <w:t xml:space="preserve">van </w:t>
      </w:r>
      <w:r w:rsidR="00776FCE">
        <w:rPr>
          <w:szCs w:val="22"/>
          <w:lang w:val="nl-NL"/>
        </w:rPr>
        <w:t>het</w:t>
      </w:r>
      <w:r w:rsidRPr="000D625A">
        <w:rPr>
          <w:szCs w:val="22"/>
          <w:lang w:val="nl-NL"/>
        </w:rPr>
        <w:t xml:space="preserve"> </w:t>
      </w:r>
      <w:r w:rsidR="00776FCE">
        <w:rPr>
          <w:szCs w:val="22"/>
          <w:lang w:val="nl-NL"/>
        </w:rPr>
        <w:t>laatste stadium</w:t>
      </w:r>
      <w:r w:rsidR="00193BCB">
        <w:rPr>
          <w:szCs w:val="22"/>
          <w:lang w:val="nl-NL"/>
        </w:rPr>
        <w:t xml:space="preserve"> van de</w:t>
      </w:r>
      <w:r w:rsidRPr="000D625A">
        <w:rPr>
          <w:szCs w:val="22"/>
          <w:lang w:val="nl-NL"/>
        </w:rPr>
        <w:t xml:space="preserve"> follikelrijping met hCG plaatsvinden.</w:t>
      </w:r>
    </w:p>
    <w:p w:rsidR="007A7566" w:rsidRPr="000D625A" w:rsidRDefault="007A7566" w:rsidP="00413309">
      <w:pPr>
        <w:autoSpaceDE w:val="0"/>
        <w:autoSpaceDN w:val="0"/>
        <w:adjustRightInd w:val="0"/>
        <w:rPr>
          <w:szCs w:val="22"/>
          <w:lang w:val="nl-NL"/>
        </w:rPr>
      </w:pPr>
    </w:p>
    <w:p w:rsidR="00413309" w:rsidRPr="000D625A" w:rsidRDefault="00413309" w:rsidP="00413309">
      <w:pPr>
        <w:autoSpaceDE w:val="0"/>
        <w:autoSpaceDN w:val="0"/>
        <w:adjustRightInd w:val="0"/>
        <w:rPr>
          <w:szCs w:val="22"/>
          <w:lang w:val="nl-NL"/>
        </w:rPr>
      </w:pPr>
      <w:r w:rsidRPr="000D625A">
        <w:rPr>
          <w:szCs w:val="22"/>
          <w:lang w:val="nl-NL"/>
        </w:rPr>
        <w:t xml:space="preserve">Voor volgende behandelingscycli </w:t>
      </w:r>
      <w:r w:rsidR="00450B6C">
        <w:rPr>
          <w:szCs w:val="22"/>
          <w:lang w:val="nl-NL"/>
        </w:rPr>
        <w:t xml:space="preserve">moet </w:t>
      </w:r>
      <w:r w:rsidRPr="000D625A">
        <w:rPr>
          <w:szCs w:val="22"/>
          <w:lang w:val="nl-NL"/>
        </w:rPr>
        <w:t xml:space="preserve">de dagelijkse dosis REKOVELLE worden gehandhaafd of aangepast op grond van de ovariële respons van de patiënt in de vorige cyclus. Als de patiënt in de vorige cyclus een </w:t>
      </w:r>
      <w:r w:rsidR="00450B6C">
        <w:rPr>
          <w:szCs w:val="22"/>
          <w:lang w:val="nl-NL"/>
        </w:rPr>
        <w:t xml:space="preserve">adequate </w:t>
      </w:r>
      <w:r w:rsidRPr="000D625A">
        <w:rPr>
          <w:szCs w:val="22"/>
          <w:lang w:val="nl-NL"/>
        </w:rPr>
        <w:t xml:space="preserve">ovariële respons had zonder OHSS te ontwikkelen, </w:t>
      </w:r>
      <w:r w:rsidR="00450B6C">
        <w:rPr>
          <w:szCs w:val="22"/>
          <w:lang w:val="nl-NL"/>
        </w:rPr>
        <w:t>moet</w:t>
      </w:r>
      <w:r w:rsidRPr="000D625A">
        <w:rPr>
          <w:szCs w:val="22"/>
          <w:lang w:val="nl-NL"/>
        </w:rPr>
        <w:t xml:space="preserve"> dezelfde dagelijkse dosis worden gebruikt. In geval van een ovariële hyporespons in de vorige cyclus</w:t>
      </w:r>
      <w:r w:rsidR="00450B6C">
        <w:rPr>
          <w:szCs w:val="22"/>
          <w:lang w:val="nl-NL"/>
        </w:rPr>
        <w:t xml:space="preserve"> moet</w:t>
      </w:r>
      <w:r w:rsidRPr="000D625A">
        <w:rPr>
          <w:szCs w:val="22"/>
          <w:lang w:val="nl-NL"/>
        </w:rPr>
        <w:t xml:space="preserve"> de dagelijkse dosis in de volgende cyclus met 25% of 50% worden verhoogd, naargelang de waargenomen mate van respons. In geval van een ovariële hyperrespons in de vorige cyclus </w:t>
      </w:r>
      <w:r w:rsidR="00450B6C">
        <w:rPr>
          <w:szCs w:val="22"/>
          <w:lang w:val="nl-NL"/>
        </w:rPr>
        <w:t>moet</w:t>
      </w:r>
      <w:r w:rsidRPr="000D625A">
        <w:rPr>
          <w:szCs w:val="22"/>
          <w:lang w:val="nl-NL"/>
        </w:rPr>
        <w:t xml:space="preserve"> de dagelijkse dosis in de volgende cyclus met 20% of 33% worden verlaagd, naargelang de waargenomen mate van respons. Bij patiënten die in een vorige cyclus OHSS ontwikkelden of risico op OHSS liepen, is de dagelijkse dosis voor de volgende cyclus 33% lager dan de dosis die gebruikt werd in de cyclus waarin zich OHSS of het risico op OHSS voordeed. De maximale dagelijkse dosis is 24 microgram.</w:t>
      </w:r>
    </w:p>
    <w:p w:rsidR="001913C8" w:rsidRPr="000D625A" w:rsidRDefault="001913C8" w:rsidP="00413309">
      <w:pPr>
        <w:autoSpaceDE w:val="0"/>
        <w:autoSpaceDN w:val="0"/>
        <w:adjustRightInd w:val="0"/>
        <w:rPr>
          <w:szCs w:val="22"/>
          <w:lang w:val="nl-NL"/>
        </w:rPr>
      </w:pPr>
    </w:p>
    <w:p w:rsidR="00413309" w:rsidRPr="000D625A" w:rsidRDefault="00413309" w:rsidP="00413309">
      <w:pPr>
        <w:autoSpaceDE w:val="0"/>
        <w:autoSpaceDN w:val="0"/>
        <w:adjustRightInd w:val="0"/>
        <w:rPr>
          <w:i/>
          <w:color w:val="000000"/>
          <w:szCs w:val="22"/>
          <w:lang w:val="nl-NL"/>
        </w:rPr>
      </w:pPr>
      <w:r w:rsidRPr="000D625A">
        <w:rPr>
          <w:i/>
          <w:iCs/>
          <w:color w:val="000000"/>
          <w:szCs w:val="22"/>
          <w:lang w:val="nl-NL"/>
        </w:rPr>
        <w:t>Patiënten met verminderde nier</w:t>
      </w:r>
      <w:r w:rsidR="00B41519" w:rsidRPr="000D625A">
        <w:rPr>
          <w:i/>
          <w:iCs/>
          <w:color w:val="000000"/>
          <w:szCs w:val="22"/>
          <w:lang w:val="nl-NL"/>
        </w:rPr>
        <w:noBreakHyphen/>
      </w:r>
      <w:r w:rsidRPr="000D625A">
        <w:rPr>
          <w:i/>
          <w:iCs/>
          <w:color w:val="000000"/>
          <w:szCs w:val="22"/>
          <w:lang w:val="nl-NL"/>
        </w:rPr>
        <w:t xml:space="preserve"> </w:t>
      </w:r>
      <w:r w:rsidR="00EB57BA">
        <w:rPr>
          <w:i/>
          <w:iCs/>
          <w:color w:val="000000"/>
          <w:szCs w:val="22"/>
          <w:lang w:val="nl-NL"/>
        </w:rPr>
        <w:t>of</w:t>
      </w:r>
      <w:r w:rsidRPr="000D625A">
        <w:rPr>
          <w:i/>
          <w:iCs/>
          <w:color w:val="000000"/>
          <w:szCs w:val="22"/>
          <w:lang w:val="nl-NL"/>
        </w:rPr>
        <w:t xml:space="preserve"> leverfunctie</w:t>
      </w:r>
    </w:p>
    <w:p w:rsidR="00755E8B" w:rsidRPr="000D625A" w:rsidRDefault="00413309" w:rsidP="001C2FB5">
      <w:pPr>
        <w:rPr>
          <w:color w:val="000000"/>
          <w:szCs w:val="22"/>
          <w:lang w:val="nl-NL"/>
        </w:rPr>
      </w:pPr>
      <w:r w:rsidRPr="000D625A">
        <w:rPr>
          <w:color w:val="000000"/>
          <w:szCs w:val="22"/>
          <w:lang w:val="nl-NL"/>
        </w:rPr>
        <w:t xml:space="preserve">De veiligheid, werkzaamheid en farmacokinetiek van REKOVELLE zijn niet </w:t>
      </w:r>
      <w:r w:rsidRPr="000D625A">
        <w:rPr>
          <w:lang w:val="nl-NL"/>
        </w:rPr>
        <w:t xml:space="preserve">specifiek onderzocht in klinische </w:t>
      </w:r>
      <w:r w:rsidR="00C613BB">
        <w:rPr>
          <w:lang w:val="nl-NL"/>
        </w:rPr>
        <w:t>onderzoeken</w:t>
      </w:r>
      <w:r w:rsidR="00C613BB" w:rsidRPr="000D625A">
        <w:rPr>
          <w:lang w:val="nl-NL"/>
        </w:rPr>
        <w:t xml:space="preserve"> </w:t>
      </w:r>
      <w:r w:rsidRPr="000D625A">
        <w:rPr>
          <w:lang w:val="nl-NL"/>
        </w:rPr>
        <w:t>bij patiënten met een verminderde nier</w:t>
      </w:r>
      <w:r w:rsidR="00B41519" w:rsidRPr="000D625A">
        <w:rPr>
          <w:lang w:val="nl-NL"/>
        </w:rPr>
        <w:noBreakHyphen/>
      </w:r>
      <w:r w:rsidRPr="000D625A">
        <w:rPr>
          <w:lang w:val="nl-NL"/>
        </w:rPr>
        <w:t xml:space="preserve"> </w:t>
      </w:r>
      <w:r w:rsidR="000106F9">
        <w:rPr>
          <w:lang w:val="nl-NL"/>
        </w:rPr>
        <w:t>of</w:t>
      </w:r>
      <w:r w:rsidRPr="000D625A">
        <w:rPr>
          <w:lang w:val="nl-NL"/>
        </w:rPr>
        <w:t xml:space="preserve"> leverfunctie</w:t>
      </w:r>
      <w:r w:rsidRPr="000D625A">
        <w:rPr>
          <w:color w:val="000000"/>
          <w:szCs w:val="22"/>
          <w:lang w:val="nl-NL"/>
        </w:rPr>
        <w:t xml:space="preserve">. </w:t>
      </w:r>
      <w:r w:rsidR="00755E8B" w:rsidRPr="000D625A">
        <w:rPr>
          <w:color w:val="000000"/>
          <w:szCs w:val="22"/>
          <w:lang w:val="nl-NL"/>
        </w:rPr>
        <w:t xml:space="preserve">Hoewel </w:t>
      </w:r>
      <w:r w:rsidR="00A52585">
        <w:rPr>
          <w:color w:val="000000"/>
          <w:szCs w:val="22"/>
          <w:lang w:val="nl-NL"/>
        </w:rPr>
        <w:t xml:space="preserve">ze </w:t>
      </w:r>
      <w:r w:rsidR="00755E8B" w:rsidRPr="000D625A">
        <w:rPr>
          <w:color w:val="000000"/>
          <w:szCs w:val="22"/>
          <w:lang w:val="nl-NL"/>
        </w:rPr>
        <w:t>beperkt</w:t>
      </w:r>
      <w:r w:rsidR="00A52585">
        <w:rPr>
          <w:color w:val="000000"/>
          <w:szCs w:val="22"/>
          <w:lang w:val="nl-NL"/>
        </w:rPr>
        <w:t xml:space="preserve"> </w:t>
      </w:r>
      <w:r w:rsidR="00FC0E93">
        <w:rPr>
          <w:color w:val="000000"/>
          <w:szCs w:val="22"/>
          <w:lang w:val="nl-NL"/>
        </w:rPr>
        <w:t>zijn,</w:t>
      </w:r>
      <w:r w:rsidR="00FC0E93" w:rsidRPr="000D625A">
        <w:rPr>
          <w:color w:val="000000"/>
          <w:szCs w:val="22"/>
          <w:lang w:val="nl-NL"/>
        </w:rPr>
        <w:t xml:space="preserve"> duidden</w:t>
      </w:r>
      <w:r w:rsidR="00755E8B" w:rsidRPr="000D625A">
        <w:rPr>
          <w:color w:val="000000"/>
          <w:szCs w:val="22"/>
          <w:lang w:val="nl-NL"/>
        </w:rPr>
        <w:t xml:space="preserve"> gegevens niet op een noodzaak om bij deze patiëntenpopulatie e</w:t>
      </w:r>
      <w:r w:rsidR="000D625A">
        <w:rPr>
          <w:color w:val="000000"/>
          <w:szCs w:val="22"/>
          <w:lang w:val="nl-NL"/>
        </w:rPr>
        <w:t>en ander doseringsschema van REK</w:t>
      </w:r>
      <w:r w:rsidR="00755E8B" w:rsidRPr="000D625A">
        <w:rPr>
          <w:color w:val="000000"/>
          <w:szCs w:val="22"/>
          <w:lang w:val="nl-NL"/>
        </w:rPr>
        <w:t>O</w:t>
      </w:r>
      <w:r w:rsidR="000D625A">
        <w:rPr>
          <w:color w:val="000000"/>
          <w:szCs w:val="22"/>
          <w:lang w:val="nl-NL"/>
        </w:rPr>
        <w:t>V</w:t>
      </w:r>
      <w:r w:rsidR="00755E8B" w:rsidRPr="000D625A">
        <w:rPr>
          <w:color w:val="000000"/>
          <w:szCs w:val="22"/>
          <w:lang w:val="nl-NL"/>
        </w:rPr>
        <w:t>ELLE te hanteren (zie rubriek 4.4).</w:t>
      </w:r>
    </w:p>
    <w:p w:rsidR="00413309" w:rsidRPr="000D625A" w:rsidRDefault="00413309" w:rsidP="00413309">
      <w:pPr>
        <w:autoSpaceDE w:val="0"/>
        <w:autoSpaceDN w:val="0"/>
        <w:adjustRightInd w:val="0"/>
        <w:rPr>
          <w:color w:val="000000"/>
          <w:szCs w:val="22"/>
          <w:lang w:val="nl-NL"/>
        </w:rPr>
      </w:pPr>
    </w:p>
    <w:p w:rsidR="00413309" w:rsidRPr="000D625A" w:rsidRDefault="0022245B" w:rsidP="00D94FAF">
      <w:pPr>
        <w:keepNext/>
        <w:keepLines/>
        <w:rPr>
          <w:i/>
          <w:szCs w:val="22"/>
          <w:lang w:val="nl-NL"/>
        </w:rPr>
      </w:pPr>
      <w:r w:rsidRPr="008C6053">
        <w:rPr>
          <w:i/>
          <w:iCs/>
          <w:szCs w:val="22"/>
          <w:lang w:val="nl-NL"/>
        </w:rPr>
        <w:lastRenderedPageBreak/>
        <w:t xml:space="preserve">Patiënten met </w:t>
      </w:r>
      <w:r w:rsidRPr="00D64DA2">
        <w:rPr>
          <w:i/>
          <w:iCs/>
          <w:szCs w:val="22"/>
          <w:lang w:val="nl-NL"/>
        </w:rPr>
        <w:t>polycysteus</w:t>
      </w:r>
      <w:r w:rsidR="004047BF">
        <w:rPr>
          <w:i/>
          <w:iCs/>
          <w:szCs w:val="22"/>
          <w:lang w:val="nl-NL"/>
        </w:rPr>
        <w:t>-</w:t>
      </w:r>
      <w:r w:rsidRPr="00D64DA2">
        <w:rPr>
          <w:i/>
          <w:iCs/>
          <w:szCs w:val="22"/>
          <w:lang w:val="nl-NL"/>
        </w:rPr>
        <w:t>ovariumsyndroom</w:t>
      </w:r>
      <w:r w:rsidRPr="008C6053">
        <w:rPr>
          <w:i/>
          <w:iCs/>
          <w:szCs w:val="22"/>
          <w:lang w:val="nl-NL"/>
        </w:rPr>
        <w:t xml:space="preserve"> en anovulatoire stoornissen</w:t>
      </w:r>
    </w:p>
    <w:p w:rsidR="00413309" w:rsidRPr="000D625A" w:rsidRDefault="00AC5117" w:rsidP="00413309">
      <w:pPr>
        <w:autoSpaceDE w:val="0"/>
        <w:autoSpaceDN w:val="0"/>
        <w:adjustRightInd w:val="0"/>
        <w:rPr>
          <w:szCs w:val="22"/>
          <w:lang w:val="nl-NL"/>
        </w:rPr>
      </w:pPr>
      <w:r w:rsidRPr="000D625A">
        <w:rPr>
          <w:szCs w:val="22"/>
          <w:lang w:val="nl-NL"/>
        </w:rPr>
        <w:t>Er is geen onderzoek gedaan naar anovulatoire patiënten met polycysteus</w:t>
      </w:r>
      <w:r w:rsidR="006C6569">
        <w:rPr>
          <w:szCs w:val="22"/>
          <w:lang w:val="nl-NL"/>
        </w:rPr>
        <w:t>-</w:t>
      </w:r>
      <w:r w:rsidRPr="000D625A">
        <w:rPr>
          <w:szCs w:val="22"/>
          <w:lang w:val="nl-NL"/>
        </w:rPr>
        <w:t>ovariumsyndroom. Ovulatoire patiënten met polycysteuze ovaria werden ingesloten in</w:t>
      </w:r>
      <w:r w:rsidR="009A2C2D">
        <w:rPr>
          <w:szCs w:val="22"/>
          <w:lang w:val="nl-NL"/>
        </w:rPr>
        <w:t xml:space="preserve"> klinische </w:t>
      </w:r>
      <w:r w:rsidR="00C613BB">
        <w:rPr>
          <w:szCs w:val="22"/>
          <w:lang w:val="nl-NL"/>
        </w:rPr>
        <w:t xml:space="preserve">onderzoeken </w:t>
      </w:r>
      <w:r w:rsidR="009A2C2D">
        <w:rPr>
          <w:szCs w:val="22"/>
          <w:lang w:val="nl-NL"/>
        </w:rPr>
        <w:t>(zie rubriek </w:t>
      </w:r>
      <w:r w:rsidRPr="000D625A">
        <w:rPr>
          <w:szCs w:val="22"/>
          <w:lang w:val="nl-NL"/>
        </w:rPr>
        <w:t>5.1).</w:t>
      </w:r>
    </w:p>
    <w:p w:rsidR="00413309" w:rsidRPr="000D625A" w:rsidRDefault="00413309" w:rsidP="00413309">
      <w:pPr>
        <w:autoSpaceDE w:val="0"/>
        <w:autoSpaceDN w:val="0"/>
        <w:adjustRightInd w:val="0"/>
        <w:rPr>
          <w:color w:val="000000"/>
          <w:szCs w:val="22"/>
          <w:lang w:val="nl-NL"/>
        </w:rPr>
      </w:pPr>
    </w:p>
    <w:p w:rsidR="00413309" w:rsidRPr="000D625A" w:rsidRDefault="00413309" w:rsidP="00D94FAF">
      <w:pPr>
        <w:keepNext/>
        <w:rPr>
          <w:i/>
          <w:lang w:val="nl-NL"/>
        </w:rPr>
      </w:pPr>
      <w:r w:rsidRPr="000D625A">
        <w:rPr>
          <w:i/>
          <w:iCs/>
          <w:lang w:val="nl-NL"/>
        </w:rPr>
        <w:t>Ouderen</w:t>
      </w:r>
    </w:p>
    <w:p w:rsidR="00413309" w:rsidRPr="000D625A" w:rsidRDefault="00413309" w:rsidP="00413309">
      <w:pPr>
        <w:rPr>
          <w:szCs w:val="22"/>
          <w:lang w:val="nl-NL"/>
        </w:rPr>
      </w:pPr>
      <w:r w:rsidRPr="000D625A">
        <w:rPr>
          <w:lang w:val="nl-NL"/>
        </w:rPr>
        <w:t>Er is geen relevant</w:t>
      </w:r>
      <w:r w:rsidR="000106F9">
        <w:rPr>
          <w:lang w:val="nl-NL"/>
        </w:rPr>
        <w:t>e toepassing</w:t>
      </w:r>
      <w:r w:rsidRPr="000D625A">
        <w:rPr>
          <w:lang w:val="nl-NL"/>
        </w:rPr>
        <w:t xml:space="preserve"> van REKOVELLE </w:t>
      </w:r>
      <w:r w:rsidR="000106F9">
        <w:rPr>
          <w:lang w:val="nl-NL"/>
        </w:rPr>
        <w:t>bij ouderen</w:t>
      </w:r>
      <w:r w:rsidRPr="000D625A">
        <w:rPr>
          <w:lang w:val="nl-NL"/>
        </w:rPr>
        <w:t xml:space="preserve">. </w:t>
      </w:r>
    </w:p>
    <w:p w:rsidR="00755E8B" w:rsidRPr="006008DC" w:rsidRDefault="00755E8B" w:rsidP="00413309">
      <w:pPr>
        <w:rPr>
          <w:iCs/>
          <w:szCs w:val="22"/>
          <w:lang w:val="nl-NL"/>
        </w:rPr>
      </w:pPr>
    </w:p>
    <w:p w:rsidR="00413309" w:rsidRPr="000D625A" w:rsidRDefault="00413309" w:rsidP="00413309">
      <w:pPr>
        <w:rPr>
          <w:bCs/>
          <w:i/>
          <w:iCs/>
          <w:szCs w:val="22"/>
          <w:lang w:val="nl-NL"/>
        </w:rPr>
      </w:pPr>
      <w:r w:rsidRPr="000D625A">
        <w:rPr>
          <w:i/>
          <w:iCs/>
          <w:szCs w:val="22"/>
          <w:lang w:val="nl-NL"/>
        </w:rPr>
        <w:t>Pediatrische patiënten</w:t>
      </w:r>
    </w:p>
    <w:p w:rsidR="00413309" w:rsidRPr="000D625A" w:rsidRDefault="00413309" w:rsidP="00413309">
      <w:pPr>
        <w:autoSpaceDE w:val="0"/>
        <w:autoSpaceDN w:val="0"/>
        <w:adjustRightInd w:val="0"/>
        <w:rPr>
          <w:szCs w:val="22"/>
          <w:lang w:val="nl-NL"/>
        </w:rPr>
      </w:pPr>
      <w:r w:rsidRPr="000D625A">
        <w:rPr>
          <w:szCs w:val="22"/>
          <w:lang w:val="nl-NL"/>
        </w:rPr>
        <w:t>Er is geen relevant</w:t>
      </w:r>
      <w:r w:rsidR="000106F9">
        <w:rPr>
          <w:lang w:val="nl-NL"/>
        </w:rPr>
        <w:t>e toepassing</w:t>
      </w:r>
      <w:r w:rsidRPr="000D625A">
        <w:rPr>
          <w:szCs w:val="22"/>
          <w:lang w:val="nl-NL"/>
        </w:rPr>
        <w:t xml:space="preserve"> van REKOVELLE </w:t>
      </w:r>
      <w:r w:rsidR="000106F9">
        <w:rPr>
          <w:szCs w:val="22"/>
          <w:lang w:val="nl-NL"/>
        </w:rPr>
        <w:t xml:space="preserve">bij </w:t>
      </w:r>
      <w:r w:rsidRPr="000D625A">
        <w:rPr>
          <w:szCs w:val="22"/>
          <w:lang w:val="nl-NL"/>
        </w:rPr>
        <w:t xml:space="preserve">pediatrische </w:t>
      </w:r>
      <w:r w:rsidR="000106F9" w:rsidRPr="000D625A">
        <w:rPr>
          <w:szCs w:val="22"/>
          <w:lang w:val="nl-NL"/>
        </w:rPr>
        <w:t>p</w:t>
      </w:r>
      <w:r w:rsidR="000106F9">
        <w:rPr>
          <w:szCs w:val="22"/>
          <w:lang w:val="nl-NL"/>
        </w:rPr>
        <w:t>atiënten</w:t>
      </w:r>
      <w:r w:rsidRPr="000D625A">
        <w:rPr>
          <w:szCs w:val="22"/>
          <w:lang w:val="nl-NL"/>
        </w:rPr>
        <w:t>.</w:t>
      </w:r>
    </w:p>
    <w:p w:rsidR="00413309" w:rsidRPr="000D625A" w:rsidRDefault="00413309" w:rsidP="00413309">
      <w:pPr>
        <w:rPr>
          <w:szCs w:val="22"/>
          <w:u w:val="single"/>
          <w:lang w:val="nl-NL"/>
        </w:rPr>
      </w:pPr>
    </w:p>
    <w:p w:rsidR="00413309" w:rsidRPr="000D625A" w:rsidRDefault="00413309" w:rsidP="00413309">
      <w:pPr>
        <w:rPr>
          <w:szCs w:val="22"/>
          <w:u w:val="single"/>
          <w:lang w:val="nl-NL"/>
        </w:rPr>
      </w:pPr>
      <w:r w:rsidRPr="000D625A">
        <w:rPr>
          <w:szCs w:val="22"/>
          <w:u w:val="single"/>
          <w:lang w:val="nl-NL"/>
        </w:rPr>
        <w:t xml:space="preserve">Wijze van toediening </w:t>
      </w:r>
    </w:p>
    <w:p w:rsidR="00413309" w:rsidRPr="000D625A" w:rsidRDefault="00755E8B" w:rsidP="00413309">
      <w:pPr>
        <w:rPr>
          <w:szCs w:val="22"/>
          <w:lang w:val="nl-NL"/>
        </w:rPr>
      </w:pPr>
      <w:r w:rsidRPr="000D625A">
        <w:rPr>
          <w:szCs w:val="22"/>
          <w:lang w:val="nl-NL"/>
        </w:rPr>
        <w:t>De patroon is ontworp</w:t>
      </w:r>
      <w:r w:rsidR="000D625A">
        <w:rPr>
          <w:szCs w:val="22"/>
          <w:lang w:val="nl-NL"/>
        </w:rPr>
        <w:t>en voor gebruik samen met de REKOV</w:t>
      </w:r>
      <w:r w:rsidRPr="000D625A">
        <w:rPr>
          <w:szCs w:val="22"/>
          <w:lang w:val="nl-NL"/>
        </w:rPr>
        <w:t>ELLE</w:t>
      </w:r>
      <w:r w:rsidR="00894C1A" w:rsidRPr="000D625A">
        <w:rPr>
          <w:szCs w:val="22"/>
          <w:lang w:val="nl-NL"/>
        </w:rPr>
        <w:noBreakHyphen/>
      </w:r>
      <w:r w:rsidRPr="000D625A">
        <w:rPr>
          <w:szCs w:val="22"/>
          <w:lang w:val="nl-NL"/>
        </w:rPr>
        <w:t xml:space="preserve">injectiepen. </w:t>
      </w:r>
      <w:r w:rsidR="0089173D" w:rsidRPr="000D625A">
        <w:rPr>
          <w:szCs w:val="22"/>
          <w:lang w:val="nl-NL"/>
        </w:rPr>
        <w:t>REKOVELLE is bedoeld voor subcuta</w:t>
      </w:r>
      <w:r w:rsidRPr="000D625A">
        <w:rPr>
          <w:szCs w:val="22"/>
          <w:lang w:val="nl-NL"/>
        </w:rPr>
        <w:t>a</w:t>
      </w:r>
      <w:r w:rsidR="0089173D" w:rsidRPr="000D625A">
        <w:rPr>
          <w:szCs w:val="22"/>
          <w:lang w:val="nl-NL"/>
        </w:rPr>
        <w:t xml:space="preserve">n </w:t>
      </w:r>
      <w:r w:rsidRPr="000D625A">
        <w:rPr>
          <w:szCs w:val="22"/>
          <w:lang w:val="nl-NL"/>
        </w:rPr>
        <w:t>gebruik</w:t>
      </w:r>
      <w:r w:rsidR="0089173D" w:rsidRPr="000D625A">
        <w:rPr>
          <w:szCs w:val="22"/>
          <w:lang w:val="nl-NL"/>
        </w:rPr>
        <w:t>, bij voorkeur in de buikwand. De eerste injectie moet onder direct medisch toezicht worden toegediend. Patiënten moeten worden geïnstrueerd over het gebruik van de REKOVELLE</w:t>
      </w:r>
      <w:r w:rsidR="00894C1A" w:rsidRPr="000D625A">
        <w:rPr>
          <w:szCs w:val="22"/>
          <w:lang w:val="nl-NL"/>
        </w:rPr>
        <w:noBreakHyphen/>
      </w:r>
      <w:r w:rsidR="0089173D" w:rsidRPr="000D625A">
        <w:rPr>
          <w:szCs w:val="22"/>
          <w:lang w:val="nl-NL"/>
        </w:rPr>
        <w:t xml:space="preserve">injectiepen en het toedienen van injecties. Zelftoediening </w:t>
      </w:r>
      <w:r w:rsidR="00450B6C">
        <w:rPr>
          <w:szCs w:val="22"/>
          <w:lang w:val="nl-NL"/>
        </w:rPr>
        <w:t>mag</w:t>
      </w:r>
      <w:r w:rsidR="0089173D" w:rsidRPr="000D625A">
        <w:rPr>
          <w:szCs w:val="22"/>
          <w:lang w:val="nl-NL"/>
        </w:rPr>
        <w:t xml:space="preserve"> alleen worden uitgevoerd door goed</w:t>
      </w:r>
      <w:r w:rsidR="00B41519" w:rsidRPr="000D625A">
        <w:rPr>
          <w:szCs w:val="22"/>
          <w:lang w:val="nl-NL"/>
        </w:rPr>
        <w:noBreakHyphen/>
      </w:r>
      <w:r w:rsidR="0089173D" w:rsidRPr="000D625A">
        <w:rPr>
          <w:szCs w:val="22"/>
          <w:lang w:val="nl-NL"/>
        </w:rPr>
        <w:t>gemotiveerde en voldoende geïnstrueerde patiënten die kunnen beschikken over deskundig advies.</w:t>
      </w:r>
    </w:p>
    <w:p w:rsidR="00413309" w:rsidRPr="000D625A" w:rsidRDefault="00413309" w:rsidP="00413309">
      <w:pPr>
        <w:rPr>
          <w:szCs w:val="22"/>
          <w:u w:val="single"/>
          <w:lang w:val="nl-NL"/>
        </w:rPr>
      </w:pPr>
    </w:p>
    <w:p w:rsidR="00812D16" w:rsidRPr="000D625A" w:rsidRDefault="00413309" w:rsidP="00413309">
      <w:pPr>
        <w:autoSpaceDE w:val="0"/>
        <w:autoSpaceDN w:val="0"/>
        <w:adjustRightInd w:val="0"/>
        <w:spacing w:line="240" w:lineRule="auto"/>
        <w:rPr>
          <w:szCs w:val="22"/>
          <w:lang w:val="nl-NL"/>
        </w:rPr>
      </w:pPr>
      <w:r w:rsidRPr="000D625A">
        <w:rPr>
          <w:szCs w:val="22"/>
          <w:lang w:val="nl-NL"/>
        </w:rPr>
        <w:t>Voor instructies over de toediening met de REKOVELLE</w:t>
      </w:r>
      <w:r w:rsidR="00894C1A" w:rsidRPr="000D625A">
        <w:rPr>
          <w:szCs w:val="22"/>
          <w:lang w:val="nl-NL"/>
        </w:rPr>
        <w:noBreakHyphen/>
      </w:r>
      <w:r w:rsidRPr="000D625A">
        <w:rPr>
          <w:szCs w:val="22"/>
          <w:lang w:val="nl-NL"/>
        </w:rPr>
        <w:t xml:space="preserve">injectiepen, zie de </w:t>
      </w:r>
      <w:r w:rsidR="00450B6C">
        <w:rPr>
          <w:szCs w:val="22"/>
          <w:lang w:val="nl-NL"/>
        </w:rPr>
        <w:t>g</w:t>
      </w:r>
      <w:r w:rsidRPr="000D625A">
        <w:rPr>
          <w:szCs w:val="22"/>
          <w:lang w:val="nl-NL"/>
        </w:rPr>
        <w:t>ebruiksaanwijzing</w:t>
      </w:r>
      <w:r w:rsidR="00755E8B" w:rsidRPr="000D625A">
        <w:rPr>
          <w:szCs w:val="22"/>
          <w:lang w:val="nl-NL"/>
        </w:rPr>
        <w:t xml:space="preserve"> die </w:t>
      </w:r>
      <w:r w:rsidR="00A52585">
        <w:rPr>
          <w:szCs w:val="22"/>
          <w:lang w:val="nl-NL"/>
        </w:rPr>
        <w:t xml:space="preserve">bij de pen wordt </w:t>
      </w:r>
      <w:r w:rsidR="00755E8B" w:rsidRPr="000D625A">
        <w:rPr>
          <w:szCs w:val="22"/>
          <w:lang w:val="nl-NL"/>
        </w:rPr>
        <w:t>geleverd</w:t>
      </w:r>
      <w:r w:rsidRPr="000D625A">
        <w:rPr>
          <w:szCs w:val="22"/>
          <w:lang w:val="nl-NL"/>
        </w:rPr>
        <w:t>.</w:t>
      </w:r>
    </w:p>
    <w:p w:rsidR="00735F64" w:rsidRPr="000D625A" w:rsidRDefault="00735F64" w:rsidP="00204AAB">
      <w:pPr>
        <w:spacing w:line="240" w:lineRule="auto"/>
        <w:rPr>
          <w:szCs w:val="22"/>
          <w:lang w:val="nl-NL"/>
        </w:rPr>
      </w:pPr>
    </w:p>
    <w:p w:rsidR="00812D16" w:rsidRPr="000D625A" w:rsidRDefault="00812D16" w:rsidP="00204AAB">
      <w:pPr>
        <w:spacing w:line="240" w:lineRule="auto"/>
        <w:ind w:left="567" w:hanging="567"/>
        <w:rPr>
          <w:szCs w:val="22"/>
          <w:lang w:val="nl-NL"/>
        </w:rPr>
      </w:pPr>
      <w:r w:rsidRPr="000D625A">
        <w:rPr>
          <w:b/>
          <w:bCs/>
          <w:szCs w:val="22"/>
          <w:lang w:val="nl-NL"/>
        </w:rPr>
        <w:t>4.3</w:t>
      </w:r>
      <w:r w:rsidRPr="000D625A">
        <w:rPr>
          <w:b/>
          <w:bCs/>
          <w:szCs w:val="22"/>
          <w:lang w:val="nl-NL"/>
        </w:rPr>
        <w:tab/>
        <w:t>Contra</w:t>
      </w:r>
      <w:r w:rsidR="00B41519" w:rsidRPr="000D625A">
        <w:rPr>
          <w:b/>
          <w:bCs/>
          <w:szCs w:val="22"/>
          <w:lang w:val="nl-NL"/>
        </w:rPr>
        <w:noBreakHyphen/>
      </w:r>
      <w:r w:rsidRPr="000D625A">
        <w:rPr>
          <w:b/>
          <w:bCs/>
          <w:szCs w:val="22"/>
          <w:lang w:val="nl-NL"/>
        </w:rPr>
        <w:t>indicaties</w:t>
      </w:r>
    </w:p>
    <w:p w:rsidR="00812D16" w:rsidRPr="000D625A" w:rsidRDefault="00812D16" w:rsidP="00204AAB">
      <w:pPr>
        <w:spacing w:line="240" w:lineRule="auto"/>
        <w:rPr>
          <w:szCs w:val="22"/>
          <w:lang w:val="nl-NL"/>
        </w:rPr>
      </w:pPr>
    </w:p>
    <w:p w:rsidR="00C874A1" w:rsidRPr="000D625A" w:rsidRDefault="00C874A1" w:rsidP="00C874A1">
      <w:pPr>
        <w:numPr>
          <w:ilvl w:val="0"/>
          <w:numId w:val="26"/>
        </w:numPr>
        <w:tabs>
          <w:tab w:val="clear" w:pos="567"/>
        </w:tabs>
        <w:spacing w:line="240" w:lineRule="auto"/>
        <w:rPr>
          <w:szCs w:val="22"/>
          <w:lang w:val="nl-NL"/>
        </w:rPr>
      </w:pPr>
      <w:r w:rsidRPr="000D625A">
        <w:rPr>
          <w:szCs w:val="22"/>
          <w:lang w:val="nl-NL"/>
        </w:rPr>
        <w:t xml:space="preserve">Overgevoeligheid voor </w:t>
      </w:r>
      <w:r w:rsidR="00404396">
        <w:rPr>
          <w:szCs w:val="22"/>
          <w:lang w:val="nl-NL"/>
        </w:rPr>
        <w:t>de</w:t>
      </w:r>
      <w:r w:rsidRPr="000D625A">
        <w:rPr>
          <w:szCs w:val="22"/>
          <w:lang w:val="nl-NL"/>
        </w:rPr>
        <w:t xml:space="preserve"> werkzame </w:t>
      </w:r>
      <w:r w:rsidR="00404396">
        <w:rPr>
          <w:szCs w:val="22"/>
          <w:lang w:val="nl-NL"/>
        </w:rPr>
        <w:t>stof</w:t>
      </w:r>
      <w:r w:rsidR="00404396" w:rsidRPr="000D625A">
        <w:rPr>
          <w:szCs w:val="22"/>
          <w:lang w:val="nl-NL"/>
        </w:rPr>
        <w:t xml:space="preserve"> </w:t>
      </w:r>
      <w:r w:rsidRPr="000D625A">
        <w:rPr>
          <w:szCs w:val="22"/>
          <w:lang w:val="nl-NL"/>
        </w:rPr>
        <w:t xml:space="preserve">of voor </w:t>
      </w:r>
      <w:r w:rsidR="00404396">
        <w:rPr>
          <w:szCs w:val="22"/>
          <w:lang w:val="nl-NL"/>
        </w:rPr>
        <w:t>ee</w:t>
      </w:r>
      <w:r w:rsidR="009A2C2D">
        <w:rPr>
          <w:szCs w:val="22"/>
          <w:lang w:val="nl-NL"/>
        </w:rPr>
        <w:t>n van de in rubriek </w:t>
      </w:r>
      <w:r w:rsidRPr="000D625A">
        <w:rPr>
          <w:szCs w:val="22"/>
          <w:lang w:val="nl-NL"/>
        </w:rPr>
        <w:t>6.1 vermelde hulpstoffen.</w:t>
      </w:r>
    </w:p>
    <w:p w:rsidR="00C874A1" w:rsidRPr="000D625A" w:rsidRDefault="00C874A1" w:rsidP="00C874A1">
      <w:pPr>
        <w:numPr>
          <w:ilvl w:val="0"/>
          <w:numId w:val="26"/>
        </w:numPr>
        <w:tabs>
          <w:tab w:val="clear" w:pos="567"/>
        </w:tabs>
        <w:spacing w:line="240" w:lineRule="auto"/>
        <w:rPr>
          <w:szCs w:val="22"/>
          <w:lang w:val="nl-NL"/>
        </w:rPr>
      </w:pPr>
      <w:r w:rsidRPr="000D625A">
        <w:rPr>
          <w:szCs w:val="22"/>
          <w:lang w:val="nl-NL"/>
        </w:rPr>
        <w:t>Tumoren in hypothalamus of hypofyse</w:t>
      </w:r>
      <w:r w:rsidR="00450B6C">
        <w:rPr>
          <w:szCs w:val="22"/>
          <w:lang w:val="nl-NL"/>
        </w:rPr>
        <w:t>.</w:t>
      </w:r>
    </w:p>
    <w:p w:rsidR="00C874A1" w:rsidRPr="000D625A" w:rsidRDefault="00C874A1" w:rsidP="00C874A1">
      <w:pPr>
        <w:numPr>
          <w:ilvl w:val="0"/>
          <w:numId w:val="26"/>
        </w:numPr>
        <w:tabs>
          <w:tab w:val="clear" w:pos="567"/>
        </w:tabs>
        <w:spacing w:line="240" w:lineRule="auto"/>
        <w:rPr>
          <w:szCs w:val="22"/>
          <w:lang w:val="nl-NL"/>
        </w:rPr>
      </w:pPr>
      <w:r w:rsidRPr="000D625A">
        <w:rPr>
          <w:szCs w:val="22"/>
          <w:lang w:val="nl-NL"/>
        </w:rPr>
        <w:t xml:space="preserve">Vergroting van de ovaria of </w:t>
      </w:r>
      <w:r w:rsidR="00450B6C">
        <w:rPr>
          <w:szCs w:val="22"/>
          <w:lang w:val="nl-NL"/>
        </w:rPr>
        <w:t>ovarium</w:t>
      </w:r>
      <w:r w:rsidRPr="000D625A">
        <w:rPr>
          <w:szCs w:val="22"/>
          <w:lang w:val="nl-NL"/>
        </w:rPr>
        <w:t>cysten, anders dan door polycysteus</w:t>
      </w:r>
      <w:r w:rsidR="006C6569">
        <w:rPr>
          <w:szCs w:val="22"/>
          <w:lang w:val="nl-NL"/>
        </w:rPr>
        <w:t>-</w:t>
      </w:r>
      <w:r w:rsidRPr="000D625A">
        <w:rPr>
          <w:szCs w:val="22"/>
          <w:lang w:val="nl-NL"/>
        </w:rPr>
        <w:t>ovariumsyndroom</w:t>
      </w:r>
      <w:r w:rsidR="00450B6C">
        <w:rPr>
          <w:szCs w:val="22"/>
          <w:lang w:val="nl-NL"/>
        </w:rPr>
        <w:t>.</w:t>
      </w:r>
    </w:p>
    <w:p w:rsidR="00C874A1" w:rsidRPr="006008DC" w:rsidRDefault="00C874A1" w:rsidP="00C874A1">
      <w:pPr>
        <w:numPr>
          <w:ilvl w:val="0"/>
          <w:numId w:val="26"/>
        </w:numPr>
        <w:tabs>
          <w:tab w:val="clear" w:pos="567"/>
        </w:tabs>
        <w:spacing w:line="240" w:lineRule="auto"/>
        <w:rPr>
          <w:szCs w:val="22"/>
          <w:lang w:val="nl-NL"/>
        </w:rPr>
      </w:pPr>
      <w:r w:rsidRPr="000D625A">
        <w:rPr>
          <w:szCs w:val="22"/>
          <w:lang w:val="nl-NL"/>
        </w:rPr>
        <w:t>Gynaecologische bloedingen met onbekende oorzaak</w:t>
      </w:r>
      <w:r w:rsidR="00755E8B" w:rsidRPr="000D625A">
        <w:rPr>
          <w:szCs w:val="22"/>
          <w:lang w:val="nl-NL"/>
        </w:rPr>
        <w:t xml:space="preserve"> (zie rubriek 4.4)</w:t>
      </w:r>
      <w:r w:rsidR="00450B6C">
        <w:rPr>
          <w:szCs w:val="22"/>
          <w:lang w:val="nl-NL"/>
        </w:rPr>
        <w:t>.</w:t>
      </w:r>
    </w:p>
    <w:p w:rsidR="00C874A1" w:rsidRPr="006008DC" w:rsidRDefault="00C874A1" w:rsidP="00C874A1">
      <w:pPr>
        <w:numPr>
          <w:ilvl w:val="0"/>
          <w:numId w:val="26"/>
        </w:numPr>
        <w:tabs>
          <w:tab w:val="clear" w:pos="567"/>
        </w:tabs>
        <w:spacing w:line="240" w:lineRule="auto"/>
        <w:rPr>
          <w:szCs w:val="22"/>
          <w:lang w:val="nl-NL"/>
        </w:rPr>
      </w:pPr>
      <w:r w:rsidRPr="000D625A">
        <w:rPr>
          <w:szCs w:val="22"/>
          <w:lang w:val="nl-NL"/>
        </w:rPr>
        <w:t>Ovarium</w:t>
      </w:r>
      <w:r w:rsidR="00B41519" w:rsidRPr="000D625A">
        <w:rPr>
          <w:szCs w:val="22"/>
          <w:lang w:val="nl-NL"/>
        </w:rPr>
        <w:noBreakHyphen/>
      </w:r>
      <w:r w:rsidRPr="000D625A">
        <w:rPr>
          <w:szCs w:val="22"/>
          <w:lang w:val="nl-NL"/>
        </w:rPr>
        <w:t>, uterus</w:t>
      </w:r>
      <w:r w:rsidR="00B41519" w:rsidRPr="000D625A">
        <w:rPr>
          <w:szCs w:val="22"/>
          <w:lang w:val="nl-NL"/>
        </w:rPr>
        <w:noBreakHyphen/>
      </w:r>
      <w:r w:rsidRPr="000D625A">
        <w:rPr>
          <w:szCs w:val="22"/>
          <w:lang w:val="nl-NL"/>
        </w:rPr>
        <w:t xml:space="preserve"> of mammacarcinoom</w:t>
      </w:r>
      <w:r w:rsidR="00755E8B" w:rsidRPr="000D625A">
        <w:rPr>
          <w:szCs w:val="22"/>
          <w:lang w:val="nl-NL"/>
        </w:rPr>
        <w:t xml:space="preserve"> (zie rubriek 4.4)</w:t>
      </w:r>
      <w:r w:rsidR="00450B6C">
        <w:rPr>
          <w:szCs w:val="22"/>
          <w:lang w:val="nl-NL"/>
        </w:rPr>
        <w:t>.</w:t>
      </w:r>
    </w:p>
    <w:p w:rsidR="00C874A1" w:rsidRPr="006008DC" w:rsidRDefault="00C874A1" w:rsidP="00D94FAF">
      <w:pPr>
        <w:tabs>
          <w:tab w:val="clear" w:pos="567"/>
        </w:tabs>
        <w:spacing w:line="240" w:lineRule="auto"/>
        <w:ind w:left="502"/>
        <w:rPr>
          <w:szCs w:val="22"/>
          <w:lang w:val="nl-NL"/>
        </w:rPr>
      </w:pPr>
    </w:p>
    <w:p w:rsidR="00C874A1" w:rsidRPr="000D625A" w:rsidRDefault="000F4B7F" w:rsidP="00C874A1">
      <w:pPr>
        <w:rPr>
          <w:szCs w:val="22"/>
          <w:lang w:val="nl-NL"/>
        </w:rPr>
      </w:pPr>
      <w:r w:rsidRPr="000D625A">
        <w:rPr>
          <w:szCs w:val="22"/>
          <w:lang w:val="nl-NL"/>
        </w:rPr>
        <w:t xml:space="preserve">In de volgende situaties </w:t>
      </w:r>
      <w:r w:rsidR="00450B6C">
        <w:rPr>
          <w:szCs w:val="22"/>
          <w:lang w:val="nl-NL"/>
        </w:rPr>
        <w:t>is</w:t>
      </w:r>
      <w:r w:rsidRPr="000D625A">
        <w:rPr>
          <w:szCs w:val="22"/>
          <w:lang w:val="nl-NL"/>
        </w:rPr>
        <w:t xml:space="preserve"> het behandelingsresultaat waarschijnlijk ongunstig</w:t>
      </w:r>
      <w:r w:rsidR="00450B6C">
        <w:rPr>
          <w:szCs w:val="22"/>
          <w:lang w:val="nl-NL"/>
        </w:rPr>
        <w:t>. Daarom mag</w:t>
      </w:r>
      <w:r w:rsidRPr="000D625A">
        <w:rPr>
          <w:szCs w:val="22"/>
          <w:lang w:val="nl-NL"/>
        </w:rPr>
        <w:t xml:space="preserve"> REKOVELLE niet worden toegediend</w:t>
      </w:r>
      <w:r w:rsidR="00AA61E9">
        <w:rPr>
          <w:szCs w:val="22"/>
          <w:lang w:val="nl-NL"/>
        </w:rPr>
        <w:t xml:space="preserve"> bij</w:t>
      </w:r>
      <w:r w:rsidRPr="000D625A">
        <w:rPr>
          <w:szCs w:val="22"/>
          <w:lang w:val="nl-NL"/>
        </w:rPr>
        <w:t>:</w:t>
      </w:r>
    </w:p>
    <w:p w:rsidR="00C874A1" w:rsidRPr="000D625A" w:rsidRDefault="00450B6C" w:rsidP="00C874A1">
      <w:pPr>
        <w:numPr>
          <w:ilvl w:val="0"/>
          <w:numId w:val="26"/>
        </w:numPr>
        <w:tabs>
          <w:tab w:val="clear" w:pos="567"/>
        </w:tabs>
        <w:spacing w:line="240" w:lineRule="auto"/>
        <w:rPr>
          <w:szCs w:val="22"/>
          <w:lang w:val="nl-NL"/>
        </w:rPr>
      </w:pPr>
      <w:r>
        <w:rPr>
          <w:szCs w:val="22"/>
          <w:lang w:val="nl-NL"/>
        </w:rPr>
        <w:t>P</w:t>
      </w:r>
      <w:r w:rsidR="00C874A1" w:rsidRPr="000D625A">
        <w:rPr>
          <w:szCs w:val="22"/>
          <w:lang w:val="nl-NL"/>
        </w:rPr>
        <w:t>rimair ovariumfalen</w:t>
      </w:r>
      <w:r>
        <w:rPr>
          <w:szCs w:val="22"/>
          <w:lang w:val="nl-NL"/>
        </w:rPr>
        <w:t>.</w:t>
      </w:r>
    </w:p>
    <w:p w:rsidR="00C874A1" w:rsidRPr="000D625A" w:rsidRDefault="00450B6C" w:rsidP="00A7195A">
      <w:pPr>
        <w:pStyle w:val="ColorfulList-Accent11"/>
        <w:numPr>
          <w:ilvl w:val="0"/>
          <w:numId w:val="26"/>
        </w:numPr>
        <w:spacing w:after="0" w:line="240" w:lineRule="auto"/>
        <w:rPr>
          <w:lang w:val="nl-NL"/>
        </w:rPr>
      </w:pPr>
      <w:r>
        <w:rPr>
          <w:rFonts w:ascii="Times New Roman" w:eastAsia="Times New Roman" w:hAnsi="Times New Roman"/>
          <w:lang w:val="nl-NL"/>
        </w:rPr>
        <w:t>M</w:t>
      </w:r>
      <w:r w:rsidR="00C874A1" w:rsidRPr="000D625A">
        <w:rPr>
          <w:rFonts w:ascii="Times New Roman" w:eastAsia="Times New Roman" w:hAnsi="Times New Roman"/>
          <w:lang w:val="nl-NL"/>
        </w:rPr>
        <w:t>alformatie van de geslachtsorganen niet verenigbaar met zwangerschap</w:t>
      </w:r>
      <w:r>
        <w:rPr>
          <w:rFonts w:ascii="Times New Roman" w:eastAsia="Times New Roman" w:hAnsi="Times New Roman"/>
          <w:lang w:val="nl-NL"/>
        </w:rPr>
        <w:t>.</w:t>
      </w:r>
    </w:p>
    <w:p w:rsidR="00C874A1" w:rsidRPr="000D625A" w:rsidRDefault="00450B6C" w:rsidP="00C874A1">
      <w:pPr>
        <w:numPr>
          <w:ilvl w:val="0"/>
          <w:numId w:val="26"/>
        </w:numPr>
        <w:tabs>
          <w:tab w:val="clear" w:pos="567"/>
        </w:tabs>
        <w:spacing w:line="240" w:lineRule="auto"/>
        <w:rPr>
          <w:szCs w:val="22"/>
          <w:lang w:val="nl-NL"/>
        </w:rPr>
      </w:pPr>
      <w:r>
        <w:rPr>
          <w:szCs w:val="22"/>
          <w:lang w:val="nl-NL"/>
        </w:rPr>
        <w:t>F</w:t>
      </w:r>
      <w:r w:rsidR="00C874A1" w:rsidRPr="000D625A">
        <w:rPr>
          <w:szCs w:val="22"/>
          <w:lang w:val="nl-NL"/>
        </w:rPr>
        <w:t>ibroïde tumoren van de uterus niet verenigbaar met zwangerschap.</w:t>
      </w:r>
    </w:p>
    <w:p w:rsidR="00735F64" w:rsidRPr="000D625A" w:rsidRDefault="00735F64" w:rsidP="00204AAB">
      <w:pPr>
        <w:spacing w:line="240" w:lineRule="auto"/>
        <w:rPr>
          <w:szCs w:val="22"/>
          <w:lang w:val="nl-NL"/>
        </w:rPr>
      </w:pPr>
    </w:p>
    <w:p w:rsidR="00812D16" w:rsidRPr="000D625A" w:rsidRDefault="00812D16" w:rsidP="00204AAB">
      <w:pPr>
        <w:spacing w:line="240" w:lineRule="auto"/>
        <w:ind w:left="567" w:hanging="567"/>
        <w:rPr>
          <w:b/>
          <w:szCs w:val="22"/>
          <w:lang w:val="nl-NL"/>
        </w:rPr>
      </w:pPr>
      <w:r w:rsidRPr="000D625A">
        <w:rPr>
          <w:b/>
          <w:bCs/>
          <w:szCs w:val="22"/>
          <w:lang w:val="nl-NL"/>
        </w:rPr>
        <w:t>4.4</w:t>
      </w:r>
      <w:r w:rsidRPr="000D625A">
        <w:rPr>
          <w:b/>
          <w:bCs/>
          <w:szCs w:val="22"/>
          <w:lang w:val="nl-NL"/>
        </w:rPr>
        <w:tab/>
        <w:t>Bijzondere waarschuwingen en voorzorgen bij gebruik</w:t>
      </w:r>
    </w:p>
    <w:p w:rsidR="00812D16" w:rsidRPr="000D625A" w:rsidRDefault="00812D16" w:rsidP="00204AAB">
      <w:pPr>
        <w:spacing w:line="240" w:lineRule="auto"/>
        <w:ind w:left="567" w:hanging="567"/>
        <w:rPr>
          <w:b/>
          <w:szCs w:val="22"/>
          <w:lang w:val="nl-NL"/>
        </w:rPr>
      </w:pPr>
    </w:p>
    <w:p w:rsidR="00735F64" w:rsidRPr="000D625A" w:rsidRDefault="0089173D" w:rsidP="00735F64">
      <w:pPr>
        <w:rPr>
          <w:szCs w:val="22"/>
          <w:lang w:val="nl-NL"/>
        </w:rPr>
      </w:pPr>
      <w:r w:rsidRPr="000D625A">
        <w:rPr>
          <w:szCs w:val="22"/>
          <w:lang w:val="nl-NL"/>
        </w:rPr>
        <w:t xml:space="preserve">REKOVELLE bevat een krachtige gonadotrope stof die </w:t>
      </w:r>
      <w:r w:rsidR="000106F9">
        <w:rPr>
          <w:szCs w:val="22"/>
          <w:lang w:val="nl-NL"/>
        </w:rPr>
        <w:t>licht</w:t>
      </w:r>
      <w:r w:rsidRPr="000D625A">
        <w:rPr>
          <w:szCs w:val="22"/>
          <w:lang w:val="nl-NL"/>
        </w:rPr>
        <w:t>e tot ernstige bijwerkingen kan veroorzaken, en mag alleen gebruikt worden door artsen die zeer goed vertrouwd zijn met problemen van onvruchtbaarheid en de behandeling daarvan.</w:t>
      </w:r>
    </w:p>
    <w:p w:rsidR="00735F64" w:rsidRPr="000D625A" w:rsidRDefault="00735F64" w:rsidP="00735F64">
      <w:pPr>
        <w:rPr>
          <w:szCs w:val="22"/>
          <w:lang w:val="nl-NL"/>
        </w:rPr>
      </w:pPr>
    </w:p>
    <w:p w:rsidR="00735F64" w:rsidRPr="000D625A" w:rsidRDefault="00735F64" w:rsidP="00735F64">
      <w:pPr>
        <w:rPr>
          <w:szCs w:val="22"/>
          <w:lang w:val="nl-NL"/>
        </w:rPr>
      </w:pPr>
      <w:r w:rsidRPr="000D625A">
        <w:rPr>
          <w:szCs w:val="22"/>
          <w:lang w:val="nl-NL"/>
        </w:rPr>
        <w:t>Behandeling met gonadotrofine vereist beschikbaarheid van de artsen en ondersteunend personeel, evenals de beschikbaarheid van geschikte controlevoorzieningen. Een veilig en effectief gebruik van REKOVELLE vereist een regelmatige controle van de ovariële respons door middel van echografie, alleen of in combinatie met bepaling van de oestradiolspiegels</w:t>
      </w:r>
      <w:r w:rsidR="00450B6C">
        <w:rPr>
          <w:szCs w:val="22"/>
          <w:lang w:val="nl-NL"/>
        </w:rPr>
        <w:t xml:space="preserve"> in het serum</w:t>
      </w:r>
      <w:r w:rsidRPr="000D625A">
        <w:rPr>
          <w:szCs w:val="22"/>
          <w:lang w:val="nl-NL"/>
        </w:rPr>
        <w:t xml:space="preserve">. De dosis REKOVELLE wordt voor elke patiënt </w:t>
      </w:r>
      <w:r w:rsidRPr="000D625A">
        <w:rPr>
          <w:color w:val="000000"/>
          <w:szCs w:val="22"/>
          <w:lang w:val="nl-NL"/>
        </w:rPr>
        <w:t xml:space="preserve">geïndividualiseerd </w:t>
      </w:r>
      <w:r w:rsidR="00450B6C">
        <w:rPr>
          <w:color w:val="000000"/>
          <w:szCs w:val="22"/>
          <w:lang w:val="nl-NL"/>
        </w:rPr>
        <w:t>om</w:t>
      </w:r>
      <w:r w:rsidRPr="000D625A">
        <w:rPr>
          <w:color w:val="000000"/>
          <w:szCs w:val="22"/>
          <w:lang w:val="nl-NL"/>
        </w:rPr>
        <w:t xml:space="preserve"> een ovariële respons te verkrijgen met een gunstig veiligheids</w:t>
      </w:r>
      <w:r w:rsidR="00B41519" w:rsidRPr="000D625A">
        <w:rPr>
          <w:color w:val="000000"/>
          <w:szCs w:val="22"/>
          <w:lang w:val="nl-NL"/>
        </w:rPr>
        <w:noBreakHyphen/>
      </w:r>
      <w:r w:rsidRPr="000D625A">
        <w:rPr>
          <w:color w:val="000000"/>
          <w:szCs w:val="22"/>
          <w:lang w:val="nl-NL"/>
        </w:rPr>
        <w:t>/werkzaamheidsprofiel</w:t>
      </w:r>
      <w:r w:rsidRPr="000D625A">
        <w:rPr>
          <w:szCs w:val="22"/>
          <w:lang w:val="nl-NL"/>
        </w:rPr>
        <w:t>. Er kan enige mate van variabiliteit zijn in de respons op FSH</w:t>
      </w:r>
      <w:r w:rsidR="00B41519" w:rsidRPr="000D625A">
        <w:rPr>
          <w:szCs w:val="22"/>
          <w:lang w:val="nl-NL"/>
        </w:rPr>
        <w:noBreakHyphen/>
      </w:r>
      <w:r w:rsidRPr="000D625A">
        <w:rPr>
          <w:szCs w:val="22"/>
          <w:lang w:val="nl-NL"/>
        </w:rPr>
        <w:t xml:space="preserve">toediening tussen patiënten onderling, waarbij sommige patiënten een slechte respons op FSH vertonen en anderen een </w:t>
      </w:r>
      <w:r w:rsidR="000B25E5">
        <w:rPr>
          <w:szCs w:val="22"/>
          <w:lang w:val="nl-NL"/>
        </w:rPr>
        <w:t>overmatige</w:t>
      </w:r>
      <w:r w:rsidRPr="000D625A">
        <w:rPr>
          <w:szCs w:val="22"/>
          <w:lang w:val="nl-NL"/>
        </w:rPr>
        <w:t xml:space="preserve"> respons. </w:t>
      </w:r>
    </w:p>
    <w:p w:rsidR="00735F64" w:rsidRPr="000D625A" w:rsidRDefault="00735F64" w:rsidP="00735F64">
      <w:pPr>
        <w:rPr>
          <w:szCs w:val="22"/>
          <w:lang w:val="nl-NL"/>
        </w:rPr>
      </w:pPr>
    </w:p>
    <w:p w:rsidR="00735F64" w:rsidRPr="000D625A" w:rsidRDefault="00735F64" w:rsidP="00735F64">
      <w:pPr>
        <w:rPr>
          <w:szCs w:val="22"/>
          <w:lang w:val="nl-NL"/>
        </w:rPr>
      </w:pPr>
      <w:r w:rsidRPr="000D625A">
        <w:rPr>
          <w:szCs w:val="22"/>
          <w:lang w:val="nl-NL"/>
        </w:rPr>
        <w:t>V</w:t>
      </w:r>
      <w:r w:rsidR="000B25E5">
        <w:rPr>
          <w:szCs w:val="22"/>
          <w:lang w:val="nl-NL"/>
        </w:rPr>
        <w:t>óó</w:t>
      </w:r>
      <w:r w:rsidRPr="000D625A">
        <w:rPr>
          <w:szCs w:val="22"/>
          <w:lang w:val="nl-NL"/>
        </w:rPr>
        <w:t xml:space="preserve">r aanvang van de behandeling moet worden vastgesteld of de </w:t>
      </w:r>
      <w:r w:rsidR="000B25E5">
        <w:rPr>
          <w:szCs w:val="22"/>
          <w:lang w:val="nl-NL"/>
        </w:rPr>
        <w:t>onvruchtbaarheid</w:t>
      </w:r>
      <w:r w:rsidRPr="000D625A">
        <w:rPr>
          <w:szCs w:val="22"/>
          <w:lang w:val="nl-NL"/>
        </w:rPr>
        <w:t xml:space="preserve"> van het paar geschikt is en moeten vermeende contra</w:t>
      </w:r>
      <w:r w:rsidR="00B41519" w:rsidRPr="000D625A">
        <w:rPr>
          <w:szCs w:val="22"/>
          <w:lang w:val="nl-NL"/>
        </w:rPr>
        <w:noBreakHyphen/>
      </w:r>
      <w:r w:rsidRPr="000D625A">
        <w:rPr>
          <w:szCs w:val="22"/>
          <w:lang w:val="nl-NL"/>
        </w:rPr>
        <w:t xml:space="preserve">indicaties voor de zwangerschap worden uitgesloten. In het bijzonder </w:t>
      </w:r>
      <w:r w:rsidR="000B25E5">
        <w:rPr>
          <w:szCs w:val="22"/>
          <w:lang w:val="nl-NL"/>
        </w:rPr>
        <w:t>moeten</w:t>
      </w:r>
      <w:r w:rsidRPr="000D625A">
        <w:rPr>
          <w:szCs w:val="22"/>
          <w:lang w:val="nl-NL"/>
        </w:rPr>
        <w:t xml:space="preserve"> patiënten worden onderzocht op hypothyroïdie en hyperprolactinemie, en </w:t>
      </w:r>
      <w:r w:rsidR="000B25E5">
        <w:rPr>
          <w:szCs w:val="22"/>
          <w:lang w:val="nl-NL"/>
        </w:rPr>
        <w:t xml:space="preserve">moet </w:t>
      </w:r>
      <w:r w:rsidRPr="000D625A">
        <w:rPr>
          <w:szCs w:val="22"/>
          <w:lang w:val="nl-NL"/>
        </w:rPr>
        <w:t xml:space="preserve">adequate </w:t>
      </w:r>
      <w:r w:rsidR="000B25E5">
        <w:rPr>
          <w:szCs w:val="22"/>
          <w:lang w:val="nl-NL"/>
        </w:rPr>
        <w:t xml:space="preserve">specifieke </w:t>
      </w:r>
      <w:r w:rsidRPr="000D625A">
        <w:rPr>
          <w:szCs w:val="22"/>
          <w:lang w:val="nl-NL"/>
        </w:rPr>
        <w:t>behandeling worden gegeven.</w:t>
      </w:r>
    </w:p>
    <w:p w:rsidR="00735F64" w:rsidRPr="000D625A" w:rsidRDefault="00735F64" w:rsidP="00735F64">
      <w:pPr>
        <w:rPr>
          <w:szCs w:val="22"/>
          <w:lang w:val="nl-NL"/>
        </w:rPr>
      </w:pPr>
    </w:p>
    <w:p w:rsidR="00294C06" w:rsidRPr="000D625A" w:rsidRDefault="00294C06" w:rsidP="00735F64">
      <w:pPr>
        <w:rPr>
          <w:szCs w:val="22"/>
          <w:lang w:val="nl-NL"/>
        </w:rPr>
      </w:pPr>
      <w:r w:rsidRPr="000D625A">
        <w:rPr>
          <w:szCs w:val="22"/>
          <w:lang w:val="nl-NL"/>
        </w:rPr>
        <w:lastRenderedPageBreak/>
        <w:t xml:space="preserve">Het gebruik van resultaten die zijn verkregen uit andere assays dan het ELECSYS AMH Plus immunoassay van Roche voor </w:t>
      </w:r>
      <w:r w:rsidR="000B25E5">
        <w:rPr>
          <w:szCs w:val="22"/>
          <w:lang w:val="nl-NL"/>
        </w:rPr>
        <w:t>de dosis</w:t>
      </w:r>
      <w:r w:rsidRPr="000D625A">
        <w:rPr>
          <w:szCs w:val="22"/>
          <w:lang w:val="nl-NL"/>
        </w:rPr>
        <w:t>bepal</w:t>
      </w:r>
      <w:r w:rsidR="000B25E5">
        <w:rPr>
          <w:szCs w:val="22"/>
          <w:lang w:val="nl-NL"/>
        </w:rPr>
        <w:t>ing</w:t>
      </w:r>
      <w:r w:rsidRPr="000D625A">
        <w:rPr>
          <w:szCs w:val="22"/>
          <w:lang w:val="nl-NL"/>
        </w:rPr>
        <w:t xml:space="preserve"> van RE</w:t>
      </w:r>
      <w:r w:rsidR="000D625A">
        <w:rPr>
          <w:szCs w:val="22"/>
          <w:lang w:val="nl-NL"/>
        </w:rPr>
        <w:t>K</w:t>
      </w:r>
      <w:r w:rsidRPr="000D625A">
        <w:rPr>
          <w:szCs w:val="22"/>
          <w:lang w:val="nl-NL"/>
        </w:rPr>
        <w:t>O</w:t>
      </w:r>
      <w:r w:rsidR="000D625A">
        <w:rPr>
          <w:szCs w:val="22"/>
          <w:lang w:val="nl-NL"/>
        </w:rPr>
        <w:t>V</w:t>
      </w:r>
      <w:r w:rsidRPr="000D625A">
        <w:rPr>
          <w:szCs w:val="22"/>
          <w:lang w:val="nl-NL"/>
        </w:rPr>
        <w:t>ELLE</w:t>
      </w:r>
      <w:r w:rsidR="000B25E5">
        <w:rPr>
          <w:szCs w:val="22"/>
          <w:lang w:val="nl-NL"/>
        </w:rPr>
        <w:t>,</w:t>
      </w:r>
      <w:r w:rsidRPr="000D625A">
        <w:rPr>
          <w:szCs w:val="22"/>
          <w:lang w:val="nl-NL"/>
        </w:rPr>
        <w:t xml:space="preserve"> wordt niet aangeraden aangezien er op dit moment geen standaardisering is van de beschikbare AMH</w:t>
      </w:r>
      <w:r w:rsidR="00B41519" w:rsidRPr="000D625A">
        <w:rPr>
          <w:szCs w:val="22"/>
          <w:lang w:val="nl-NL"/>
        </w:rPr>
        <w:noBreakHyphen/>
      </w:r>
      <w:r w:rsidRPr="000D625A">
        <w:rPr>
          <w:szCs w:val="22"/>
          <w:lang w:val="nl-NL"/>
        </w:rPr>
        <w:t>assays.</w:t>
      </w:r>
    </w:p>
    <w:p w:rsidR="00294C06" w:rsidRPr="000D625A" w:rsidRDefault="00294C06" w:rsidP="00735F64">
      <w:pPr>
        <w:rPr>
          <w:szCs w:val="22"/>
          <w:lang w:val="nl-NL"/>
        </w:rPr>
      </w:pPr>
    </w:p>
    <w:p w:rsidR="00735F64" w:rsidRPr="000D625A" w:rsidRDefault="00735F64" w:rsidP="00735F64">
      <w:pPr>
        <w:rPr>
          <w:szCs w:val="22"/>
          <w:lang w:val="nl-NL"/>
        </w:rPr>
      </w:pPr>
      <w:r w:rsidRPr="000D625A">
        <w:rPr>
          <w:szCs w:val="22"/>
          <w:lang w:val="nl-NL"/>
        </w:rPr>
        <w:t xml:space="preserve">Patiënten bij wie stimulering van follikelgroei wordt toegepast, kunnen te maken krijgen met vergroting van de ovaria en lopen het risico om </w:t>
      </w:r>
      <w:r w:rsidR="00294C06" w:rsidRPr="000D625A">
        <w:rPr>
          <w:szCs w:val="22"/>
          <w:lang w:val="nl-NL"/>
        </w:rPr>
        <w:t>OHSS</w:t>
      </w:r>
      <w:r w:rsidRPr="000D625A">
        <w:rPr>
          <w:szCs w:val="22"/>
          <w:lang w:val="nl-NL"/>
        </w:rPr>
        <w:t xml:space="preserve"> te ontwikkelen. Het opvolgen van het doserings</w:t>
      </w:r>
      <w:r w:rsidR="00B41519" w:rsidRPr="000D625A">
        <w:rPr>
          <w:szCs w:val="22"/>
          <w:lang w:val="nl-NL"/>
        </w:rPr>
        <w:noBreakHyphen/>
      </w:r>
      <w:r w:rsidRPr="000D625A">
        <w:rPr>
          <w:szCs w:val="22"/>
          <w:lang w:val="nl-NL"/>
        </w:rPr>
        <w:t xml:space="preserve"> en toedieningsschema van REKOVELLE en zorgvuldige controle van de behandeling zullen de incidentie van dergelijke gevallen tot een minimum beperken.</w:t>
      </w:r>
    </w:p>
    <w:p w:rsidR="00735F64" w:rsidRPr="000D625A" w:rsidRDefault="00735F64" w:rsidP="00735F64">
      <w:pPr>
        <w:rPr>
          <w:szCs w:val="22"/>
          <w:u w:val="single"/>
          <w:lang w:val="nl-NL"/>
        </w:rPr>
      </w:pPr>
    </w:p>
    <w:p w:rsidR="00735F64" w:rsidRPr="000D625A" w:rsidRDefault="00735F64" w:rsidP="006008DC">
      <w:pPr>
        <w:keepNext/>
        <w:keepLines/>
        <w:rPr>
          <w:szCs w:val="22"/>
          <w:u w:val="single"/>
          <w:lang w:val="nl-NL"/>
        </w:rPr>
      </w:pPr>
      <w:r w:rsidRPr="000D625A">
        <w:rPr>
          <w:szCs w:val="22"/>
          <w:u w:val="single"/>
          <w:lang w:val="nl-NL"/>
        </w:rPr>
        <w:t>Ovarieel hyperstimulatiesyndroom (OHSS)</w:t>
      </w:r>
    </w:p>
    <w:p w:rsidR="00735F64" w:rsidRPr="000D625A" w:rsidRDefault="00735F64" w:rsidP="006008DC">
      <w:pPr>
        <w:keepNext/>
        <w:keepLines/>
        <w:rPr>
          <w:szCs w:val="22"/>
          <w:lang w:val="nl-NL"/>
        </w:rPr>
      </w:pPr>
      <w:r w:rsidRPr="000D625A">
        <w:rPr>
          <w:szCs w:val="22"/>
          <w:lang w:val="nl-NL"/>
        </w:rPr>
        <w:t>Een zekere mate van vergroting van de ovaria is een te verwachten effect van gecontroleerde ovariumstimulatie. Dit komt vaker voor bij patiënten met polycysteus</w:t>
      </w:r>
      <w:r w:rsidR="006C6569">
        <w:rPr>
          <w:szCs w:val="22"/>
          <w:lang w:val="nl-NL"/>
        </w:rPr>
        <w:t>-</w:t>
      </w:r>
      <w:r w:rsidRPr="000D625A">
        <w:rPr>
          <w:szCs w:val="22"/>
          <w:lang w:val="nl-NL"/>
        </w:rPr>
        <w:t>ovariumsyndroom en</w:t>
      </w:r>
      <w:r w:rsidR="000673CD">
        <w:rPr>
          <w:szCs w:val="22"/>
          <w:lang w:val="nl-NL"/>
        </w:rPr>
        <w:t xml:space="preserve"> neemt </w:t>
      </w:r>
      <w:r w:rsidRPr="000D625A">
        <w:rPr>
          <w:szCs w:val="22"/>
          <w:lang w:val="nl-NL"/>
        </w:rPr>
        <w:t xml:space="preserve">gewoonlijk </w:t>
      </w:r>
      <w:r w:rsidR="000673CD">
        <w:rPr>
          <w:szCs w:val="22"/>
          <w:lang w:val="nl-NL"/>
        </w:rPr>
        <w:t xml:space="preserve">af </w:t>
      </w:r>
      <w:r w:rsidRPr="000D625A">
        <w:rPr>
          <w:szCs w:val="22"/>
          <w:lang w:val="nl-NL"/>
        </w:rPr>
        <w:t xml:space="preserve">zonder behandeling. In tegenstelling tot ongecompliceerde vergroting van de ovaria is OHSS een aandoening die zich kan manifesteren in toenemende mate van ernst. Het omvat een uitgesproken vergroting van de ovaria, hoge </w:t>
      </w:r>
      <w:r w:rsidR="000B25E5">
        <w:rPr>
          <w:szCs w:val="22"/>
          <w:lang w:val="nl-NL"/>
        </w:rPr>
        <w:t>serum</w:t>
      </w:r>
      <w:r w:rsidRPr="000D625A">
        <w:rPr>
          <w:szCs w:val="22"/>
          <w:lang w:val="nl-NL"/>
        </w:rPr>
        <w:t xml:space="preserve">spiegels van geslachtshormonen en een toename in de vasculaire permeabiliteit, </w:t>
      </w:r>
      <w:r w:rsidR="000B25E5">
        <w:rPr>
          <w:szCs w:val="22"/>
          <w:lang w:val="nl-NL"/>
        </w:rPr>
        <w:t>wat</w:t>
      </w:r>
      <w:r w:rsidRPr="000D625A">
        <w:rPr>
          <w:szCs w:val="22"/>
          <w:lang w:val="nl-NL"/>
        </w:rPr>
        <w:t xml:space="preserve"> kan resulteren in vocht</w:t>
      </w:r>
      <w:r w:rsidR="000B25E5">
        <w:rPr>
          <w:szCs w:val="22"/>
          <w:lang w:val="nl-NL"/>
        </w:rPr>
        <w:t>ophoping</w:t>
      </w:r>
      <w:r w:rsidRPr="000D625A">
        <w:rPr>
          <w:szCs w:val="22"/>
          <w:lang w:val="nl-NL"/>
        </w:rPr>
        <w:t xml:space="preserve"> in de peritoneale, pleurale en </w:t>
      </w:r>
      <w:r w:rsidR="000B25E5">
        <w:rPr>
          <w:szCs w:val="22"/>
          <w:lang w:val="nl-NL"/>
        </w:rPr>
        <w:t xml:space="preserve">– in zeldzame gevallen – </w:t>
      </w:r>
      <w:r w:rsidRPr="000D625A">
        <w:rPr>
          <w:szCs w:val="22"/>
          <w:lang w:val="nl-NL"/>
        </w:rPr>
        <w:t>pericard</w:t>
      </w:r>
      <w:r w:rsidR="000B25E5">
        <w:rPr>
          <w:szCs w:val="22"/>
          <w:lang w:val="nl-NL"/>
        </w:rPr>
        <w:t xml:space="preserve">iale </w:t>
      </w:r>
      <w:r w:rsidRPr="000D625A">
        <w:rPr>
          <w:szCs w:val="22"/>
          <w:lang w:val="nl-NL"/>
        </w:rPr>
        <w:t>holte.</w:t>
      </w:r>
    </w:p>
    <w:p w:rsidR="00735F64" w:rsidRPr="000D625A" w:rsidRDefault="00735F64" w:rsidP="00735F64">
      <w:pPr>
        <w:rPr>
          <w:szCs w:val="22"/>
          <w:lang w:val="nl-NL"/>
        </w:rPr>
      </w:pPr>
    </w:p>
    <w:p w:rsidR="00735F64" w:rsidRPr="000D625A" w:rsidRDefault="00735F64" w:rsidP="00735F64">
      <w:pPr>
        <w:rPr>
          <w:szCs w:val="22"/>
          <w:lang w:val="nl-NL"/>
        </w:rPr>
      </w:pPr>
      <w:r w:rsidRPr="000D625A">
        <w:rPr>
          <w:szCs w:val="22"/>
          <w:lang w:val="nl-NL"/>
        </w:rPr>
        <w:t xml:space="preserve">Het is belangrijk de waarde te benadrukken van zorgvuldige en frequente controle van de follikelontwikkeling om het risico </w:t>
      </w:r>
      <w:r w:rsidR="000B25E5">
        <w:rPr>
          <w:szCs w:val="22"/>
          <w:lang w:val="nl-NL"/>
        </w:rPr>
        <w:t>op</w:t>
      </w:r>
      <w:r w:rsidRPr="000D625A">
        <w:rPr>
          <w:szCs w:val="22"/>
          <w:lang w:val="nl-NL"/>
        </w:rPr>
        <w:t xml:space="preserve"> OHSS te beperken. De volgende symptomen kunnen worden waargenomen in ernstige gevallen van OHSS: buikpijn, buikklachten en opgezette buik, ernstige ovariumvergroting, gewichtstoename, dyspneu, oligurie en gastro</w:t>
      </w:r>
      <w:r w:rsidR="00B41519" w:rsidRPr="000D625A">
        <w:rPr>
          <w:szCs w:val="22"/>
          <w:lang w:val="nl-NL"/>
        </w:rPr>
        <w:noBreakHyphen/>
      </w:r>
      <w:r w:rsidRPr="000D625A">
        <w:rPr>
          <w:szCs w:val="22"/>
          <w:lang w:val="nl-NL"/>
        </w:rPr>
        <w:t>intestinale symptomen waaronder misselijkheid, braken en diarree. Een klinisch onderzoek kan hypovolemie, hemoconcentratie, verstoringen</w:t>
      </w:r>
      <w:r w:rsidR="000B25E5">
        <w:rPr>
          <w:szCs w:val="22"/>
          <w:lang w:val="nl-NL"/>
        </w:rPr>
        <w:t xml:space="preserve"> van de elektrolytenbalans</w:t>
      </w:r>
      <w:r w:rsidRPr="000D625A">
        <w:rPr>
          <w:szCs w:val="22"/>
          <w:lang w:val="nl-NL"/>
        </w:rPr>
        <w:t>, ascites, hemoperitoneum, pleurale effusie, hydrothorax of acute pulmonale benauwdheid aantonen. Zeer zelden kan ernstige OHSS gecompliceerd worden door ovariumtorsie of trombo</w:t>
      </w:r>
      <w:r w:rsidR="00B41519" w:rsidRPr="000D625A">
        <w:rPr>
          <w:szCs w:val="22"/>
          <w:lang w:val="nl-NL"/>
        </w:rPr>
        <w:noBreakHyphen/>
      </w:r>
      <w:r w:rsidRPr="000D625A">
        <w:rPr>
          <w:szCs w:val="22"/>
          <w:lang w:val="nl-NL"/>
        </w:rPr>
        <w:t>embolische voorvallen zoals longembolie, ischemische beroerte of myocardinfarct.</w:t>
      </w:r>
    </w:p>
    <w:p w:rsidR="00735F64" w:rsidRPr="000D625A" w:rsidRDefault="00735F64" w:rsidP="00735F64">
      <w:pPr>
        <w:rPr>
          <w:szCs w:val="22"/>
          <w:lang w:val="nl-NL"/>
        </w:rPr>
      </w:pPr>
    </w:p>
    <w:p w:rsidR="00735F64" w:rsidRPr="000D625A" w:rsidRDefault="00735F64" w:rsidP="00735F64">
      <w:pPr>
        <w:rPr>
          <w:szCs w:val="22"/>
          <w:lang w:val="nl-NL"/>
        </w:rPr>
      </w:pPr>
      <w:r w:rsidRPr="000D625A">
        <w:rPr>
          <w:szCs w:val="22"/>
          <w:lang w:val="nl-NL"/>
        </w:rPr>
        <w:t>Overmatige respons van de ovaria op de gonadotrofine</w:t>
      </w:r>
      <w:r w:rsidR="00B41519" w:rsidRPr="000D625A">
        <w:rPr>
          <w:szCs w:val="22"/>
          <w:lang w:val="nl-NL"/>
        </w:rPr>
        <w:noBreakHyphen/>
      </w:r>
      <w:r w:rsidRPr="000D625A">
        <w:rPr>
          <w:szCs w:val="22"/>
          <w:lang w:val="nl-NL"/>
        </w:rPr>
        <w:t xml:space="preserve">behandeling geeft zelden aanleiding tot OHSS, tenzij hCG wordt toegediend om </w:t>
      </w:r>
      <w:r w:rsidR="00776FCE">
        <w:rPr>
          <w:szCs w:val="22"/>
          <w:lang w:val="nl-NL"/>
        </w:rPr>
        <w:t>het laatste stadium</w:t>
      </w:r>
      <w:r w:rsidR="00690ADD">
        <w:rPr>
          <w:szCs w:val="22"/>
          <w:lang w:val="nl-NL"/>
        </w:rPr>
        <w:t xml:space="preserve"> van de</w:t>
      </w:r>
      <w:r w:rsidR="00690ADD" w:rsidRPr="000D625A">
        <w:rPr>
          <w:szCs w:val="22"/>
          <w:lang w:val="nl-NL"/>
        </w:rPr>
        <w:t xml:space="preserve"> </w:t>
      </w:r>
      <w:r w:rsidRPr="000D625A">
        <w:rPr>
          <w:szCs w:val="22"/>
          <w:lang w:val="nl-NL"/>
        </w:rPr>
        <w:t xml:space="preserve">follikelrijping </w:t>
      </w:r>
      <w:r w:rsidR="00690ADD">
        <w:rPr>
          <w:szCs w:val="22"/>
          <w:lang w:val="nl-NL"/>
        </w:rPr>
        <w:t>te induceren</w:t>
      </w:r>
      <w:r w:rsidRPr="000D625A">
        <w:rPr>
          <w:szCs w:val="22"/>
          <w:lang w:val="nl-NL"/>
        </w:rPr>
        <w:t>. Verder kan het syndroom ernstiger zijn of langer aanhouden in geval van zwangerschap. Het is daarom aan te raden in gevallen van ovariële hyperstimulatie geen hCG toe te dienen en de patiënt te adviseren ten minste 4</w:t>
      </w:r>
      <w:r w:rsidR="00294C06" w:rsidRPr="000D625A">
        <w:rPr>
          <w:szCs w:val="22"/>
          <w:lang w:val="nl-NL"/>
        </w:rPr>
        <w:t> </w:t>
      </w:r>
      <w:r w:rsidRPr="000D625A">
        <w:rPr>
          <w:szCs w:val="22"/>
          <w:lang w:val="nl-NL"/>
        </w:rPr>
        <w:t>dagen geen gemeenschap te hebben of een barrière</w:t>
      </w:r>
      <w:r w:rsidR="00B41519" w:rsidRPr="000D625A">
        <w:rPr>
          <w:szCs w:val="22"/>
          <w:lang w:val="nl-NL"/>
        </w:rPr>
        <w:noBreakHyphen/>
      </w:r>
      <w:r w:rsidRPr="000D625A">
        <w:rPr>
          <w:szCs w:val="22"/>
          <w:lang w:val="nl-NL"/>
        </w:rPr>
        <w:t>anticonceptiemiddel te gebruiken. OHSS kan snel verergeren (binnen 24</w:t>
      </w:r>
      <w:r w:rsidR="00294C06" w:rsidRPr="000D625A">
        <w:rPr>
          <w:szCs w:val="22"/>
          <w:lang w:val="nl-NL"/>
        </w:rPr>
        <w:t> </w:t>
      </w:r>
      <w:r w:rsidRPr="000D625A">
        <w:rPr>
          <w:szCs w:val="22"/>
          <w:lang w:val="nl-NL"/>
        </w:rPr>
        <w:t xml:space="preserve">uur tot een paar dagen) en een ernstig medisch voorval worden. Meestal treedt het op nadat een hormoonbehandeling is stopgezet. Ook kan, als gevolg van de hormonale veranderingen tijdens de zwangerschap, late ontwikkeling van OHSS optreden. Vanwege het risico op </w:t>
      </w:r>
      <w:r w:rsidR="000B25E5">
        <w:rPr>
          <w:szCs w:val="22"/>
          <w:lang w:val="nl-NL"/>
        </w:rPr>
        <w:t>de</w:t>
      </w:r>
      <w:r w:rsidRPr="000D625A">
        <w:rPr>
          <w:szCs w:val="22"/>
          <w:lang w:val="nl-NL"/>
        </w:rPr>
        <w:t xml:space="preserve"> ontwikkel</w:t>
      </w:r>
      <w:r w:rsidR="000B25E5">
        <w:rPr>
          <w:szCs w:val="22"/>
          <w:lang w:val="nl-NL"/>
        </w:rPr>
        <w:t>ing</w:t>
      </w:r>
      <w:r w:rsidRPr="000D625A">
        <w:rPr>
          <w:szCs w:val="22"/>
          <w:lang w:val="nl-NL"/>
        </w:rPr>
        <w:t xml:space="preserve"> van OHSS </w:t>
      </w:r>
      <w:r w:rsidR="000B25E5">
        <w:rPr>
          <w:szCs w:val="22"/>
          <w:lang w:val="nl-NL"/>
        </w:rPr>
        <w:t xml:space="preserve">moeten </w:t>
      </w:r>
      <w:r w:rsidRPr="000D625A">
        <w:rPr>
          <w:szCs w:val="22"/>
          <w:lang w:val="nl-NL"/>
        </w:rPr>
        <w:t xml:space="preserve">patiënten na het </w:t>
      </w:r>
      <w:r w:rsidR="00690ADD">
        <w:rPr>
          <w:szCs w:val="22"/>
          <w:lang w:val="nl-NL"/>
        </w:rPr>
        <w:t>induceren</w:t>
      </w:r>
      <w:r w:rsidR="00690ADD" w:rsidRPr="000D625A">
        <w:rPr>
          <w:szCs w:val="22"/>
          <w:lang w:val="nl-NL"/>
        </w:rPr>
        <w:t xml:space="preserve"> </w:t>
      </w:r>
      <w:r w:rsidRPr="000D625A">
        <w:rPr>
          <w:szCs w:val="22"/>
          <w:lang w:val="nl-NL"/>
        </w:rPr>
        <w:t xml:space="preserve">van </w:t>
      </w:r>
      <w:r w:rsidR="00776FCE">
        <w:rPr>
          <w:szCs w:val="22"/>
          <w:lang w:val="nl-NL"/>
        </w:rPr>
        <w:t>het</w:t>
      </w:r>
      <w:r w:rsidRPr="000D625A">
        <w:rPr>
          <w:szCs w:val="22"/>
          <w:lang w:val="nl-NL"/>
        </w:rPr>
        <w:t xml:space="preserve"> </w:t>
      </w:r>
      <w:r w:rsidR="00690ADD">
        <w:rPr>
          <w:szCs w:val="22"/>
          <w:lang w:val="nl-NL"/>
        </w:rPr>
        <w:t>l</w:t>
      </w:r>
      <w:r w:rsidR="00776FCE">
        <w:rPr>
          <w:szCs w:val="22"/>
          <w:lang w:val="nl-NL"/>
        </w:rPr>
        <w:t>aatste stadium</w:t>
      </w:r>
      <w:r w:rsidR="00690ADD">
        <w:rPr>
          <w:szCs w:val="22"/>
          <w:lang w:val="nl-NL"/>
        </w:rPr>
        <w:t xml:space="preserve"> van</w:t>
      </w:r>
      <w:r w:rsidR="00690ADD" w:rsidRPr="000D625A">
        <w:rPr>
          <w:szCs w:val="22"/>
          <w:lang w:val="nl-NL"/>
        </w:rPr>
        <w:t xml:space="preserve"> </w:t>
      </w:r>
      <w:r w:rsidR="00075A9C">
        <w:rPr>
          <w:szCs w:val="22"/>
          <w:lang w:val="nl-NL"/>
        </w:rPr>
        <w:t xml:space="preserve">de </w:t>
      </w:r>
      <w:r w:rsidRPr="000D625A">
        <w:rPr>
          <w:szCs w:val="22"/>
          <w:lang w:val="nl-NL"/>
        </w:rPr>
        <w:t>follikelrijping ten</w:t>
      </w:r>
      <w:r w:rsidR="000B25E5">
        <w:rPr>
          <w:szCs w:val="22"/>
          <w:lang w:val="nl-NL"/>
        </w:rPr>
        <w:t xml:space="preserve"> </w:t>
      </w:r>
      <w:r w:rsidRPr="000D625A">
        <w:rPr>
          <w:szCs w:val="22"/>
          <w:lang w:val="nl-NL"/>
        </w:rPr>
        <w:t xml:space="preserve">minste twee weken worden gecontroleerd. </w:t>
      </w:r>
    </w:p>
    <w:p w:rsidR="00735F64" w:rsidRPr="000D625A" w:rsidRDefault="00735F64" w:rsidP="00735F64">
      <w:pPr>
        <w:rPr>
          <w:szCs w:val="22"/>
          <w:u w:val="single"/>
          <w:lang w:val="nl-NL"/>
        </w:rPr>
      </w:pPr>
    </w:p>
    <w:p w:rsidR="00735F64" w:rsidRPr="000D625A" w:rsidRDefault="00735F64" w:rsidP="006008DC">
      <w:pPr>
        <w:keepNext/>
        <w:keepLines/>
        <w:rPr>
          <w:szCs w:val="22"/>
          <w:u w:val="single"/>
          <w:lang w:val="nl-NL"/>
        </w:rPr>
      </w:pPr>
      <w:r w:rsidRPr="000D625A">
        <w:rPr>
          <w:szCs w:val="22"/>
          <w:u w:val="single"/>
          <w:lang w:val="nl-NL"/>
        </w:rPr>
        <w:t>Trombo</w:t>
      </w:r>
      <w:r w:rsidR="00B41519" w:rsidRPr="000D625A">
        <w:rPr>
          <w:szCs w:val="22"/>
          <w:u w:val="single"/>
          <w:lang w:val="nl-NL"/>
        </w:rPr>
        <w:noBreakHyphen/>
      </w:r>
      <w:r w:rsidRPr="000D625A">
        <w:rPr>
          <w:szCs w:val="22"/>
          <w:u w:val="single"/>
          <w:lang w:val="nl-NL"/>
        </w:rPr>
        <w:t>embolische voorvallen</w:t>
      </w:r>
    </w:p>
    <w:p w:rsidR="00735F64" w:rsidRPr="000D625A" w:rsidRDefault="00735F64" w:rsidP="006008DC">
      <w:pPr>
        <w:keepNext/>
        <w:keepLines/>
        <w:rPr>
          <w:szCs w:val="22"/>
          <w:lang w:val="nl-NL"/>
        </w:rPr>
      </w:pPr>
      <w:r w:rsidRPr="000D625A">
        <w:rPr>
          <w:szCs w:val="22"/>
          <w:lang w:val="nl-NL"/>
        </w:rPr>
        <w:t>Vrouwen met recente of nog aanwezige trombo</w:t>
      </w:r>
      <w:r w:rsidR="00B41519" w:rsidRPr="000D625A">
        <w:rPr>
          <w:szCs w:val="22"/>
          <w:lang w:val="nl-NL"/>
        </w:rPr>
        <w:noBreakHyphen/>
      </w:r>
      <w:r w:rsidRPr="000D625A">
        <w:rPr>
          <w:szCs w:val="22"/>
          <w:lang w:val="nl-NL"/>
        </w:rPr>
        <w:t>embolische aandoeningen of vrouwen met algemeen erkende risicofactoren voor trombo</w:t>
      </w:r>
      <w:r w:rsidR="00B41519" w:rsidRPr="000D625A">
        <w:rPr>
          <w:szCs w:val="22"/>
          <w:lang w:val="nl-NL"/>
        </w:rPr>
        <w:noBreakHyphen/>
      </w:r>
      <w:r w:rsidRPr="000D625A">
        <w:rPr>
          <w:szCs w:val="22"/>
          <w:lang w:val="nl-NL"/>
        </w:rPr>
        <w:t>embolische voorvallen, zoals een persoonlijke of een familia</w:t>
      </w:r>
      <w:r w:rsidR="00AF63E2">
        <w:rPr>
          <w:szCs w:val="22"/>
          <w:lang w:val="nl-NL"/>
        </w:rPr>
        <w:t>l</w:t>
      </w:r>
      <w:r w:rsidRPr="000D625A">
        <w:rPr>
          <w:szCs w:val="22"/>
          <w:lang w:val="nl-NL"/>
        </w:rPr>
        <w:t>e voorgeschiedenis, ernstige</w:t>
      </w:r>
      <w:r w:rsidR="009A2C2D">
        <w:rPr>
          <w:szCs w:val="22"/>
          <w:lang w:val="nl-NL"/>
        </w:rPr>
        <w:t xml:space="preserve"> obesitas (Body Mass Index &gt; 30 </w:t>
      </w:r>
      <w:r w:rsidRPr="000D625A">
        <w:rPr>
          <w:szCs w:val="22"/>
          <w:lang w:val="nl-NL"/>
        </w:rPr>
        <w:t>kg/m²) of trombofilie, kunnen een verhoogd risico hebben op veneuze of arteriële trombo</w:t>
      </w:r>
      <w:r w:rsidR="00B41519" w:rsidRPr="000D625A">
        <w:rPr>
          <w:szCs w:val="22"/>
          <w:lang w:val="nl-NL"/>
        </w:rPr>
        <w:noBreakHyphen/>
      </w:r>
      <w:r w:rsidRPr="000D625A">
        <w:rPr>
          <w:szCs w:val="22"/>
          <w:lang w:val="nl-NL"/>
        </w:rPr>
        <w:t>embolische voorvallen tijdens of na een behandeling met gonadotrofinen. Een behandeling met gonadotrofinen kan het risico op vererger</w:t>
      </w:r>
      <w:r w:rsidR="00AF63E2">
        <w:rPr>
          <w:szCs w:val="22"/>
          <w:lang w:val="nl-NL"/>
        </w:rPr>
        <w:t>ing</w:t>
      </w:r>
      <w:r w:rsidRPr="000D625A">
        <w:rPr>
          <w:szCs w:val="22"/>
          <w:lang w:val="nl-NL"/>
        </w:rPr>
        <w:t xml:space="preserve"> of optreden van dergelijke voorvallen verder doen toenemen. Bij deze vrouwen moeten de voordelen </w:t>
      </w:r>
      <w:r w:rsidR="00AF63E2">
        <w:rPr>
          <w:szCs w:val="22"/>
          <w:lang w:val="nl-NL"/>
        </w:rPr>
        <w:t xml:space="preserve">en de risico’s </w:t>
      </w:r>
      <w:r w:rsidRPr="000D625A">
        <w:rPr>
          <w:szCs w:val="22"/>
          <w:lang w:val="nl-NL"/>
        </w:rPr>
        <w:t xml:space="preserve">van gonadotrofinetoediening worden afgewogen. </w:t>
      </w:r>
      <w:r w:rsidR="00193BCB">
        <w:rPr>
          <w:szCs w:val="22"/>
          <w:lang w:val="nl-NL"/>
        </w:rPr>
        <w:t>Let wel,</w:t>
      </w:r>
      <w:r w:rsidRPr="000D625A">
        <w:rPr>
          <w:szCs w:val="22"/>
          <w:lang w:val="nl-NL"/>
        </w:rPr>
        <w:t xml:space="preserve"> zowel de zwangerschap zelf als OHSS </w:t>
      </w:r>
      <w:r w:rsidR="00193BCB">
        <w:rPr>
          <w:szCs w:val="22"/>
          <w:lang w:val="nl-NL"/>
        </w:rPr>
        <w:t xml:space="preserve">brengt </w:t>
      </w:r>
      <w:r w:rsidRPr="000D625A">
        <w:rPr>
          <w:szCs w:val="22"/>
          <w:lang w:val="nl-NL"/>
        </w:rPr>
        <w:t>een verhoogd risico op trombo</w:t>
      </w:r>
      <w:r w:rsidR="00B41519" w:rsidRPr="000D625A">
        <w:rPr>
          <w:szCs w:val="22"/>
          <w:lang w:val="nl-NL"/>
        </w:rPr>
        <w:noBreakHyphen/>
      </w:r>
      <w:r w:rsidRPr="000D625A">
        <w:rPr>
          <w:szCs w:val="22"/>
          <w:lang w:val="nl-NL"/>
        </w:rPr>
        <w:t>embolische voorvallen met zich mee.</w:t>
      </w:r>
    </w:p>
    <w:p w:rsidR="00735F64" w:rsidRPr="000D625A" w:rsidRDefault="00735F64" w:rsidP="00735F64">
      <w:pPr>
        <w:rPr>
          <w:szCs w:val="22"/>
          <w:u w:val="single"/>
          <w:lang w:val="nl-NL"/>
        </w:rPr>
      </w:pPr>
    </w:p>
    <w:p w:rsidR="00735F64" w:rsidRPr="000D625A" w:rsidRDefault="00735F64" w:rsidP="00A7195A">
      <w:pPr>
        <w:keepNext/>
        <w:rPr>
          <w:szCs w:val="22"/>
          <w:u w:val="single"/>
          <w:lang w:val="nl-NL"/>
        </w:rPr>
      </w:pPr>
      <w:r w:rsidRPr="000D625A">
        <w:rPr>
          <w:szCs w:val="22"/>
          <w:u w:val="single"/>
          <w:lang w:val="nl-NL"/>
        </w:rPr>
        <w:t>Ovariumtorsie</w:t>
      </w:r>
    </w:p>
    <w:p w:rsidR="00735F64" w:rsidRPr="000D625A" w:rsidRDefault="00735F64" w:rsidP="00A7195A">
      <w:pPr>
        <w:keepNext/>
        <w:rPr>
          <w:szCs w:val="22"/>
          <w:lang w:val="nl-NL"/>
        </w:rPr>
      </w:pPr>
      <w:r w:rsidRPr="000D625A">
        <w:rPr>
          <w:szCs w:val="22"/>
          <w:lang w:val="nl-NL"/>
        </w:rPr>
        <w:t>Na behandeling met ART is ovariumtorsie gemeld. Dit kan samenhangen met andere risicofactoren als OHSS, zwangerschap, eerdere buikoperatie, voorgeschiedenis van ovariumtorsie, eerdere of huidige ovariumcyste en polycysteus</w:t>
      </w:r>
      <w:r w:rsidR="006C6569">
        <w:rPr>
          <w:szCs w:val="22"/>
          <w:lang w:val="nl-NL"/>
        </w:rPr>
        <w:t>-</w:t>
      </w:r>
      <w:r w:rsidRPr="000D625A">
        <w:rPr>
          <w:szCs w:val="22"/>
          <w:lang w:val="nl-NL"/>
        </w:rPr>
        <w:t xml:space="preserve">ovariumsyndroom. </w:t>
      </w:r>
      <w:r w:rsidR="00BA1D5C">
        <w:rPr>
          <w:szCs w:val="22"/>
          <w:lang w:val="nl-NL"/>
        </w:rPr>
        <w:t>D</w:t>
      </w:r>
      <w:r w:rsidR="00BA1D5C" w:rsidRPr="000D625A">
        <w:rPr>
          <w:szCs w:val="22"/>
          <w:lang w:val="nl-NL"/>
        </w:rPr>
        <w:t xml:space="preserve">oor vroegtijdige diagnosestelling en onmiddellijke detorsie </w:t>
      </w:r>
      <w:r w:rsidR="00BA1D5C">
        <w:rPr>
          <w:szCs w:val="22"/>
          <w:lang w:val="nl-NL"/>
        </w:rPr>
        <w:t>kan b</w:t>
      </w:r>
      <w:r w:rsidRPr="000D625A">
        <w:rPr>
          <w:szCs w:val="22"/>
          <w:lang w:val="nl-NL"/>
        </w:rPr>
        <w:t xml:space="preserve">eschadiging van het ovarium als gevolg van verminderde bloedtoevoer </w:t>
      </w:r>
      <w:r w:rsidR="00EB57BA" w:rsidRPr="000D625A">
        <w:rPr>
          <w:szCs w:val="22"/>
          <w:lang w:val="nl-NL"/>
        </w:rPr>
        <w:t>worden</w:t>
      </w:r>
      <w:r w:rsidR="00EB57BA" w:rsidRPr="000D625A" w:rsidDel="00BA1D5C">
        <w:rPr>
          <w:szCs w:val="22"/>
          <w:lang w:val="nl-NL"/>
        </w:rPr>
        <w:t xml:space="preserve"> </w:t>
      </w:r>
      <w:r w:rsidRPr="000D625A">
        <w:rPr>
          <w:szCs w:val="22"/>
          <w:lang w:val="nl-NL"/>
        </w:rPr>
        <w:t>beperkt.</w:t>
      </w:r>
    </w:p>
    <w:p w:rsidR="00735F64" w:rsidRPr="000D625A" w:rsidRDefault="00735F64" w:rsidP="00735F64">
      <w:pPr>
        <w:rPr>
          <w:szCs w:val="22"/>
          <w:u w:val="single"/>
          <w:lang w:val="nl-NL"/>
        </w:rPr>
      </w:pPr>
    </w:p>
    <w:p w:rsidR="00735F64" w:rsidRPr="000D625A" w:rsidRDefault="00735F64" w:rsidP="007740F6">
      <w:pPr>
        <w:keepLines/>
        <w:rPr>
          <w:szCs w:val="22"/>
          <w:u w:val="single"/>
          <w:lang w:val="nl-NL"/>
        </w:rPr>
      </w:pPr>
      <w:r w:rsidRPr="000D625A">
        <w:rPr>
          <w:szCs w:val="22"/>
          <w:u w:val="single"/>
          <w:lang w:val="nl-NL"/>
        </w:rPr>
        <w:t>Meerlingzwangerschap</w:t>
      </w:r>
    </w:p>
    <w:p w:rsidR="00735F64" w:rsidRPr="000D625A" w:rsidRDefault="00735F64" w:rsidP="007740F6">
      <w:pPr>
        <w:keepLines/>
        <w:rPr>
          <w:szCs w:val="22"/>
          <w:lang w:val="nl-NL"/>
        </w:rPr>
      </w:pPr>
      <w:r w:rsidRPr="000D625A">
        <w:rPr>
          <w:szCs w:val="22"/>
          <w:lang w:val="nl-NL"/>
        </w:rPr>
        <w:lastRenderedPageBreak/>
        <w:t xml:space="preserve">Meerlingzwangerschap brengt een verhoogd risico </w:t>
      </w:r>
      <w:r w:rsidR="00AF63E2">
        <w:rPr>
          <w:szCs w:val="22"/>
          <w:lang w:val="nl-NL"/>
        </w:rPr>
        <w:t xml:space="preserve">met zich mee </w:t>
      </w:r>
      <w:r w:rsidRPr="000D625A">
        <w:rPr>
          <w:szCs w:val="22"/>
          <w:lang w:val="nl-NL"/>
        </w:rPr>
        <w:t xml:space="preserve">op ongewenste maternale en perinatale effecten. Bij patiënten </w:t>
      </w:r>
      <w:r w:rsidRPr="009E0F67">
        <w:rPr>
          <w:szCs w:val="22"/>
          <w:lang w:val="nl-NL"/>
        </w:rPr>
        <w:t>die</w:t>
      </w:r>
      <w:r w:rsidRPr="000D625A">
        <w:rPr>
          <w:szCs w:val="22"/>
          <w:lang w:val="nl-NL"/>
        </w:rPr>
        <w:t xml:space="preserve"> een ART</w:t>
      </w:r>
      <w:r w:rsidR="00B41519" w:rsidRPr="000D625A">
        <w:rPr>
          <w:szCs w:val="22"/>
          <w:lang w:val="nl-NL"/>
        </w:rPr>
        <w:noBreakHyphen/>
      </w:r>
      <w:r w:rsidRPr="000D625A">
        <w:rPr>
          <w:szCs w:val="22"/>
          <w:lang w:val="nl-NL"/>
        </w:rPr>
        <w:t xml:space="preserve">procedure ondergaan, is het risico op meerlingzwangerschap hoofdzakelijk gerelateerd aan het aantal en de kwaliteit van de </w:t>
      </w:r>
      <w:r w:rsidR="00AF63E2">
        <w:rPr>
          <w:szCs w:val="22"/>
          <w:lang w:val="nl-NL"/>
        </w:rPr>
        <w:t xml:space="preserve">teruggeplaatste </w:t>
      </w:r>
      <w:r w:rsidRPr="000D625A">
        <w:rPr>
          <w:szCs w:val="22"/>
          <w:lang w:val="nl-NL"/>
        </w:rPr>
        <w:t xml:space="preserve">embryo’s </w:t>
      </w:r>
      <w:r w:rsidR="00AF63E2">
        <w:rPr>
          <w:szCs w:val="22"/>
          <w:lang w:val="nl-NL"/>
        </w:rPr>
        <w:t>alsook</w:t>
      </w:r>
      <w:r w:rsidRPr="000D625A">
        <w:rPr>
          <w:szCs w:val="22"/>
          <w:lang w:val="nl-NL"/>
        </w:rPr>
        <w:t xml:space="preserve"> de leeftijd van de patiënt, hoewel een tweelingzwangerschap in zeldzame gevallen kan ontstaan uit de terugplaatsing van één embryo. Patiënten moeten v</w:t>
      </w:r>
      <w:r w:rsidR="00AF63E2">
        <w:rPr>
          <w:szCs w:val="22"/>
          <w:lang w:val="nl-NL"/>
        </w:rPr>
        <w:t>óó</w:t>
      </w:r>
      <w:r w:rsidRPr="000D625A">
        <w:rPr>
          <w:szCs w:val="22"/>
          <w:lang w:val="nl-NL"/>
        </w:rPr>
        <w:t>r aanvang van de behandeling worden ingelicht over het potentiële risico op meerlinggeboortes.</w:t>
      </w:r>
    </w:p>
    <w:p w:rsidR="00735F64" w:rsidRPr="000D625A" w:rsidRDefault="00735F64" w:rsidP="00735F64">
      <w:pPr>
        <w:rPr>
          <w:szCs w:val="22"/>
          <w:lang w:val="nl-NL"/>
        </w:rPr>
      </w:pPr>
    </w:p>
    <w:p w:rsidR="00735F64" w:rsidRPr="000D625A" w:rsidRDefault="00735F64" w:rsidP="006008DC">
      <w:pPr>
        <w:keepLines/>
        <w:rPr>
          <w:szCs w:val="22"/>
          <w:u w:val="single"/>
          <w:lang w:val="nl-NL"/>
        </w:rPr>
      </w:pPr>
      <w:r w:rsidRPr="000D625A">
        <w:rPr>
          <w:szCs w:val="22"/>
          <w:u w:val="single"/>
          <w:lang w:val="nl-NL"/>
        </w:rPr>
        <w:t>Zwangerschapsafbreking</w:t>
      </w:r>
    </w:p>
    <w:p w:rsidR="00735F64" w:rsidRPr="000D625A" w:rsidRDefault="00735F64" w:rsidP="006008DC">
      <w:pPr>
        <w:keepLines/>
        <w:rPr>
          <w:szCs w:val="22"/>
          <w:lang w:val="nl-NL"/>
        </w:rPr>
      </w:pPr>
      <w:r w:rsidRPr="000D625A">
        <w:rPr>
          <w:szCs w:val="22"/>
          <w:lang w:val="nl-NL"/>
        </w:rPr>
        <w:t xml:space="preserve">De incidentie </w:t>
      </w:r>
      <w:r w:rsidR="00AF63E2">
        <w:rPr>
          <w:szCs w:val="22"/>
          <w:lang w:val="nl-NL"/>
        </w:rPr>
        <w:t xml:space="preserve">van zwangerschapsafbreking als gevolg </w:t>
      </w:r>
      <w:r w:rsidRPr="000D625A">
        <w:rPr>
          <w:szCs w:val="22"/>
          <w:lang w:val="nl-NL"/>
        </w:rPr>
        <w:t>van een miskraam of abortus is hoger bij patiënten die gecontroleerde ov</w:t>
      </w:r>
      <w:r w:rsidR="00A02005">
        <w:rPr>
          <w:szCs w:val="22"/>
          <w:lang w:val="nl-NL"/>
        </w:rPr>
        <w:t>arium</w:t>
      </w:r>
      <w:r w:rsidRPr="000D625A">
        <w:rPr>
          <w:szCs w:val="22"/>
          <w:lang w:val="nl-NL"/>
        </w:rPr>
        <w:t>stimulatie voor ART ondergaan, dan bij natuurlijke conceptie.</w:t>
      </w:r>
    </w:p>
    <w:p w:rsidR="00735F64" w:rsidRPr="000D625A" w:rsidRDefault="00735F64" w:rsidP="00735F64">
      <w:pPr>
        <w:rPr>
          <w:szCs w:val="22"/>
          <w:lang w:val="nl-NL"/>
        </w:rPr>
      </w:pPr>
    </w:p>
    <w:p w:rsidR="00735F64" w:rsidRPr="000D625A" w:rsidRDefault="00735F64" w:rsidP="006008DC">
      <w:pPr>
        <w:keepLines/>
        <w:rPr>
          <w:szCs w:val="22"/>
          <w:u w:val="single"/>
          <w:lang w:val="nl-NL"/>
        </w:rPr>
      </w:pPr>
      <w:r w:rsidRPr="000D625A">
        <w:rPr>
          <w:szCs w:val="22"/>
          <w:u w:val="single"/>
          <w:lang w:val="nl-NL"/>
        </w:rPr>
        <w:t>Ectopische zwangerschap</w:t>
      </w:r>
    </w:p>
    <w:p w:rsidR="00735F64" w:rsidRPr="000D625A" w:rsidRDefault="00735F64" w:rsidP="006008DC">
      <w:pPr>
        <w:keepLines/>
        <w:rPr>
          <w:szCs w:val="22"/>
          <w:lang w:val="nl-NL"/>
        </w:rPr>
      </w:pPr>
      <w:r w:rsidRPr="000D625A">
        <w:rPr>
          <w:szCs w:val="22"/>
          <w:lang w:val="nl-NL"/>
        </w:rPr>
        <w:t xml:space="preserve">Vrouwen met een voorgeschiedenis van eileideraandoeningen </w:t>
      </w:r>
      <w:r w:rsidR="00A02005">
        <w:rPr>
          <w:szCs w:val="22"/>
          <w:lang w:val="nl-NL"/>
        </w:rPr>
        <w:t xml:space="preserve">lopen het </w:t>
      </w:r>
      <w:r w:rsidRPr="000D625A">
        <w:rPr>
          <w:szCs w:val="22"/>
          <w:lang w:val="nl-NL"/>
        </w:rPr>
        <w:t xml:space="preserve">risico op een ectopische zwangerschap, zowel bij spontane conceptie als bij een </w:t>
      </w:r>
      <w:r w:rsidR="00A02005">
        <w:rPr>
          <w:szCs w:val="22"/>
          <w:lang w:val="nl-NL"/>
        </w:rPr>
        <w:t>vruchtbaarheid</w:t>
      </w:r>
      <w:r w:rsidRPr="000D625A">
        <w:rPr>
          <w:szCs w:val="22"/>
          <w:lang w:val="nl-NL"/>
        </w:rPr>
        <w:t xml:space="preserve">sbehandeling. De prevalentie van een ectopische zwangerschap na ART bleek hoger te zijn dan bij de algemene </w:t>
      </w:r>
      <w:r w:rsidR="00A02005">
        <w:rPr>
          <w:szCs w:val="22"/>
          <w:lang w:val="nl-NL"/>
        </w:rPr>
        <w:t>populatie</w:t>
      </w:r>
      <w:r w:rsidRPr="000D625A">
        <w:rPr>
          <w:szCs w:val="22"/>
          <w:lang w:val="nl-NL"/>
        </w:rPr>
        <w:t>.</w:t>
      </w:r>
    </w:p>
    <w:p w:rsidR="00735F64" w:rsidRPr="000D625A" w:rsidRDefault="00735F64" w:rsidP="00735F64">
      <w:pPr>
        <w:rPr>
          <w:szCs w:val="22"/>
          <w:lang w:val="nl-NL"/>
        </w:rPr>
      </w:pPr>
    </w:p>
    <w:p w:rsidR="00735F64" w:rsidRPr="000D625A" w:rsidRDefault="00735F64" w:rsidP="006008DC">
      <w:pPr>
        <w:keepLines/>
        <w:rPr>
          <w:szCs w:val="22"/>
          <w:u w:val="single"/>
          <w:lang w:val="nl-NL"/>
        </w:rPr>
      </w:pPr>
      <w:r w:rsidRPr="000D625A">
        <w:rPr>
          <w:szCs w:val="22"/>
          <w:u w:val="single"/>
          <w:lang w:val="nl-NL"/>
        </w:rPr>
        <w:t>Neoplasma</w:t>
      </w:r>
      <w:r w:rsidR="00A02005">
        <w:rPr>
          <w:szCs w:val="22"/>
          <w:u w:val="single"/>
          <w:lang w:val="nl-NL"/>
        </w:rPr>
        <w:t>ta</w:t>
      </w:r>
      <w:r w:rsidRPr="000D625A">
        <w:rPr>
          <w:szCs w:val="22"/>
          <w:u w:val="single"/>
          <w:lang w:val="nl-NL"/>
        </w:rPr>
        <w:t xml:space="preserve"> van voortplantingsorganen</w:t>
      </w:r>
    </w:p>
    <w:p w:rsidR="00735F64" w:rsidRPr="000D625A" w:rsidRDefault="00735F64" w:rsidP="006008DC">
      <w:pPr>
        <w:keepLines/>
        <w:rPr>
          <w:szCs w:val="22"/>
          <w:lang w:val="nl-NL"/>
        </w:rPr>
      </w:pPr>
      <w:r w:rsidRPr="000D625A">
        <w:rPr>
          <w:szCs w:val="22"/>
          <w:lang w:val="nl-NL"/>
        </w:rPr>
        <w:t xml:space="preserve">Er zijn gevallen gerapporteerd van zowel goedaardige als kwaadaardige </w:t>
      </w:r>
      <w:r w:rsidR="00A02005">
        <w:rPr>
          <w:szCs w:val="22"/>
          <w:lang w:val="nl-NL"/>
        </w:rPr>
        <w:t>neoplasmata</w:t>
      </w:r>
      <w:r w:rsidRPr="000D625A">
        <w:rPr>
          <w:szCs w:val="22"/>
          <w:lang w:val="nl-NL"/>
        </w:rPr>
        <w:t xml:space="preserve"> van de ovaria of andere delen van het voortplantingsstelsel bij vrouwen die veelvuldig therapie kregen voor de behandeling van onvruchtbaarheid. Het is niet duidelijk of behandeling met gonadotrofinen het risico op dit soort tumoren verhoogt bij onvruchtbare vrouwen.</w:t>
      </w:r>
    </w:p>
    <w:p w:rsidR="00735F64" w:rsidRPr="000D625A" w:rsidRDefault="00735F64" w:rsidP="00735F64">
      <w:pPr>
        <w:rPr>
          <w:szCs w:val="22"/>
          <w:lang w:val="nl-NL"/>
        </w:rPr>
      </w:pPr>
    </w:p>
    <w:p w:rsidR="00735F64" w:rsidRPr="000D625A" w:rsidRDefault="00735F64" w:rsidP="006008DC">
      <w:pPr>
        <w:keepLines/>
        <w:rPr>
          <w:szCs w:val="22"/>
          <w:u w:val="single"/>
          <w:lang w:val="nl-NL"/>
        </w:rPr>
      </w:pPr>
      <w:r w:rsidRPr="000D625A">
        <w:rPr>
          <w:szCs w:val="22"/>
          <w:u w:val="single"/>
          <w:lang w:val="nl-NL"/>
        </w:rPr>
        <w:t>Congenitale afwijkingen</w:t>
      </w:r>
    </w:p>
    <w:p w:rsidR="00735F64" w:rsidRPr="000D625A" w:rsidRDefault="00735F64" w:rsidP="006008DC">
      <w:pPr>
        <w:keepLines/>
        <w:rPr>
          <w:szCs w:val="22"/>
          <w:lang w:val="nl-NL"/>
        </w:rPr>
      </w:pPr>
      <w:r w:rsidRPr="000D625A">
        <w:rPr>
          <w:szCs w:val="22"/>
          <w:lang w:val="nl-NL"/>
        </w:rPr>
        <w:t>De prevalentie van congenitale afwijkingen na ART kan iets hoger zijn dan na spontane conceptie. Men veronderstelt dat dit komt door verschillen in de eigenschappen van de ouders (zoals de leeftijd van de moeder, eigenschappen van het sperma) en meerlingzwangerschappen.</w:t>
      </w:r>
    </w:p>
    <w:p w:rsidR="00735F64" w:rsidRPr="000D625A" w:rsidRDefault="00735F64" w:rsidP="00735F64">
      <w:pPr>
        <w:rPr>
          <w:szCs w:val="22"/>
          <w:lang w:val="nl-NL"/>
        </w:rPr>
      </w:pPr>
    </w:p>
    <w:p w:rsidR="00735F64" w:rsidRPr="000D625A" w:rsidRDefault="00735F64" w:rsidP="006008DC">
      <w:pPr>
        <w:keepLines/>
        <w:rPr>
          <w:szCs w:val="22"/>
          <w:u w:val="single"/>
          <w:lang w:val="nl-NL"/>
        </w:rPr>
      </w:pPr>
      <w:r w:rsidRPr="000D625A">
        <w:rPr>
          <w:szCs w:val="22"/>
          <w:u w:val="single"/>
          <w:lang w:val="nl-NL"/>
        </w:rPr>
        <w:t>Overige medische aandoeningen</w:t>
      </w:r>
    </w:p>
    <w:p w:rsidR="00735F64" w:rsidRPr="000D625A" w:rsidRDefault="00735F64" w:rsidP="006008DC">
      <w:pPr>
        <w:keepLines/>
        <w:rPr>
          <w:szCs w:val="22"/>
          <w:lang w:val="nl-NL"/>
        </w:rPr>
      </w:pPr>
      <w:r w:rsidRPr="000D625A">
        <w:rPr>
          <w:szCs w:val="22"/>
          <w:lang w:val="nl-NL"/>
        </w:rPr>
        <w:t xml:space="preserve">Voordat de behandeling met REKOVELLE wordt gestart, </w:t>
      </w:r>
      <w:r w:rsidR="00A02005">
        <w:rPr>
          <w:szCs w:val="22"/>
          <w:lang w:val="nl-NL"/>
        </w:rPr>
        <w:t xml:space="preserve">moeten </w:t>
      </w:r>
      <w:r w:rsidRPr="000D625A">
        <w:rPr>
          <w:szCs w:val="22"/>
          <w:lang w:val="nl-NL"/>
        </w:rPr>
        <w:t>medische aandoeningen die een contra</w:t>
      </w:r>
      <w:r w:rsidR="00B41519" w:rsidRPr="000D625A">
        <w:rPr>
          <w:szCs w:val="22"/>
          <w:lang w:val="nl-NL"/>
        </w:rPr>
        <w:noBreakHyphen/>
      </w:r>
      <w:r w:rsidRPr="000D625A">
        <w:rPr>
          <w:szCs w:val="22"/>
          <w:lang w:val="nl-NL"/>
        </w:rPr>
        <w:t xml:space="preserve">indicatie </w:t>
      </w:r>
      <w:r w:rsidR="00A02005">
        <w:rPr>
          <w:szCs w:val="22"/>
          <w:lang w:val="nl-NL"/>
        </w:rPr>
        <w:t xml:space="preserve">vormen </w:t>
      </w:r>
      <w:r w:rsidRPr="000D625A">
        <w:rPr>
          <w:szCs w:val="22"/>
          <w:lang w:val="nl-NL"/>
        </w:rPr>
        <w:t>voor zwangerschap</w:t>
      </w:r>
      <w:r w:rsidR="00A02005">
        <w:rPr>
          <w:szCs w:val="22"/>
          <w:lang w:val="nl-NL"/>
        </w:rPr>
        <w:t>,</w:t>
      </w:r>
      <w:r w:rsidRPr="000D625A">
        <w:rPr>
          <w:szCs w:val="22"/>
          <w:lang w:val="nl-NL"/>
        </w:rPr>
        <w:t xml:space="preserve"> eveneens worden beoordeeld.</w:t>
      </w:r>
    </w:p>
    <w:p w:rsidR="00735F64" w:rsidRPr="000D625A" w:rsidRDefault="00735F64" w:rsidP="00735F64">
      <w:pPr>
        <w:rPr>
          <w:szCs w:val="22"/>
          <w:lang w:val="nl-NL"/>
        </w:rPr>
      </w:pPr>
    </w:p>
    <w:p w:rsidR="00294C06" w:rsidRPr="007740F6" w:rsidRDefault="00294C06" w:rsidP="007740F6">
      <w:pPr>
        <w:keepLines/>
        <w:rPr>
          <w:szCs w:val="22"/>
          <w:u w:val="single"/>
          <w:lang w:val="nl-NL"/>
        </w:rPr>
      </w:pPr>
      <w:r w:rsidRPr="007740F6">
        <w:rPr>
          <w:szCs w:val="22"/>
          <w:u w:val="single"/>
          <w:lang w:val="nl-NL"/>
        </w:rPr>
        <w:t>Verminderde nier</w:t>
      </w:r>
      <w:r w:rsidR="00B90604" w:rsidRPr="007740F6">
        <w:rPr>
          <w:szCs w:val="22"/>
          <w:u w:val="single"/>
          <w:lang w:val="nl-NL"/>
        </w:rPr>
        <w:noBreakHyphen/>
      </w:r>
      <w:r w:rsidRPr="007740F6">
        <w:rPr>
          <w:szCs w:val="22"/>
          <w:u w:val="single"/>
          <w:lang w:val="nl-NL"/>
        </w:rPr>
        <w:t xml:space="preserve"> en leverfunctie</w:t>
      </w:r>
    </w:p>
    <w:p w:rsidR="00294C06" w:rsidRPr="00DA2A02" w:rsidRDefault="00294C06" w:rsidP="007740F6">
      <w:pPr>
        <w:keepLines/>
        <w:rPr>
          <w:szCs w:val="22"/>
          <w:lang w:val="nl-NL"/>
        </w:rPr>
      </w:pPr>
      <w:r w:rsidRPr="00DA2A02">
        <w:rPr>
          <w:szCs w:val="22"/>
          <w:lang w:val="nl-NL"/>
        </w:rPr>
        <w:t>REKOVELLE is niet onderzocht bij patiënten met een</w:t>
      </w:r>
      <w:r w:rsidR="00B90604" w:rsidRPr="00DA2A02">
        <w:rPr>
          <w:szCs w:val="22"/>
          <w:lang w:val="nl-NL"/>
        </w:rPr>
        <w:t xml:space="preserve"> matig/ernstig verminderde nier</w:t>
      </w:r>
      <w:r w:rsidR="00B90604" w:rsidRPr="00DA2A02">
        <w:rPr>
          <w:szCs w:val="22"/>
          <w:lang w:val="nl-NL"/>
        </w:rPr>
        <w:noBreakHyphen/>
      </w:r>
      <w:r w:rsidRPr="00DA2A02">
        <w:rPr>
          <w:szCs w:val="22"/>
          <w:lang w:val="nl-NL"/>
        </w:rPr>
        <w:t xml:space="preserve"> of leverfunctie.</w:t>
      </w:r>
    </w:p>
    <w:p w:rsidR="00294C06" w:rsidRPr="006008DC" w:rsidRDefault="00294C06" w:rsidP="00735F64">
      <w:pPr>
        <w:rPr>
          <w:szCs w:val="22"/>
          <w:lang w:val="nl-NL"/>
        </w:rPr>
      </w:pPr>
    </w:p>
    <w:p w:rsidR="00735F64" w:rsidRPr="000D625A" w:rsidRDefault="00735F64" w:rsidP="007740F6">
      <w:pPr>
        <w:keepLines/>
        <w:rPr>
          <w:szCs w:val="22"/>
          <w:u w:val="single"/>
          <w:lang w:val="nl-NL"/>
        </w:rPr>
      </w:pPr>
      <w:r w:rsidRPr="000D625A">
        <w:rPr>
          <w:szCs w:val="22"/>
          <w:u w:val="single"/>
          <w:lang w:val="nl-NL"/>
        </w:rPr>
        <w:t>Natriumgehalte</w:t>
      </w:r>
    </w:p>
    <w:p w:rsidR="00735F64" w:rsidRPr="00DA2A02" w:rsidRDefault="0089173D" w:rsidP="007740F6">
      <w:pPr>
        <w:keepLines/>
        <w:rPr>
          <w:szCs w:val="22"/>
          <w:lang w:val="nl-NL"/>
        </w:rPr>
      </w:pPr>
      <w:r w:rsidRPr="00DA2A02">
        <w:rPr>
          <w:szCs w:val="22"/>
          <w:lang w:val="nl-NL"/>
        </w:rPr>
        <w:t>REKOVELLE bevat minder dan 1 mmol (23 mg) natrium per dosis, d.w.z. in wezen 'natriumvrij'.</w:t>
      </w:r>
    </w:p>
    <w:p w:rsidR="00735F64" w:rsidRPr="00DA2A02" w:rsidRDefault="00735F64" w:rsidP="00204AAB">
      <w:pPr>
        <w:spacing w:line="240" w:lineRule="auto"/>
        <w:ind w:left="567" w:hanging="567"/>
        <w:rPr>
          <w:szCs w:val="22"/>
          <w:lang w:val="nl-NL"/>
        </w:rPr>
      </w:pPr>
    </w:p>
    <w:p w:rsidR="00812D16" w:rsidRPr="000D625A" w:rsidRDefault="00812D16" w:rsidP="00204AAB">
      <w:pPr>
        <w:spacing w:line="240" w:lineRule="auto"/>
        <w:ind w:left="567" w:hanging="567"/>
        <w:outlineLvl w:val="0"/>
        <w:rPr>
          <w:szCs w:val="22"/>
          <w:lang w:val="nl-NL"/>
        </w:rPr>
      </w:pPr>
      <w:r w:rsidRPr="000D625A">
        <w:rPr>
          <w:b/>
          <w:bCs/>
          <w:szCs w:val="22"/>
          <w:lang w:val="nl-NL"/>
        </w:rPr>
        <w:t>4.5</w:t>
      </w:r>
      <w:r w:rsidRPr="000D625A">
        <w:rPr>
          <w:b/>
          <w:bCs/>
          <w:szCs w:val="22"/>
          <w:lang w:val="nl-NL"/>
        </w:rPr>
        <w:tab/>
        <w:t>Interacties met andere geneesmiddelen en andere vormen van interactie</w:t>
      </w:r>
    </w:p>
    <w:p w:rsidR="00812D16" w:rsidRPr="000D625A" w:rsidRDefault="00812D16" w:rsidP="00204AAB">
      <w:pPr>
        <w:spacing w:line="240" w:lineRule="auto"/>
        <w:rPr>
          <w:szCs w:val="22"/>
          <w:lang w:val="nl-NL"/>
        </w:rPr>
      </w:pPr>
    </w:p>
    <w:p w:rsidR="00735F64" w:rsidRPr="000D625A" w:rsidRDefault="00735F64" w:rsidP="00735F64">
      <w:pPr>
        <w:rPr>
          <w:szCs w:val="22"/>
          <w:lang w:val="nl-NL"/>
        </w:rPr>
      </w:pPr>
      <w:r w:rsidRPr="000D625A">
        <w:rPr>
          <w:szCs w:val="22"/>
          <w:lang w:val="nl-NL"/>
        </w:rPr>
        <w:t xml:space="preserve">Er is geen onderzoek naar interacties </w:t>
      </w:r>
      <w:r w:rsidR="00BA1D5C">
        <w:rPr>
          <w:szCs w:val="22"/>
          <w:lang w:val="nl-NL"/>
        </w:rPr>
        <w:t xml:space="preserve">uitgevoerd </w:t>
      </w:r>
      <w:r w:rsidRPr="000D625A">
        <w:rPr>
          <w:szCs w:val="22"/>
          <w:lang w:val="nl-NL"/>
        </w:rPr>
        <w:t xml:space="preserve">met REKOVELLE. Er zijn geen klinisch significante interacties met andere geneesmiddelen gemeld tijdens behandeling met REKOVELLE; deze zijn ook niet te verwachten. </w:t>
      </w:r>
    </w:p>
    <w:p w:rsidR="002D74EA" w:rsidRPr="000D625A" w:rsidRDefault="002D74EA" w:rsidP="00735F64">
      <w:pPr>
        <w:rPr>
          <w:szCs w:val="22"/>
          <w:lang w:val="nl-NL"/>
        </w:rPr>
      </w:pPr>
    </w:p>
    <w:p w:rsidR="00812D16" w:rsidRPr="000D625A" w:rsidRDefault="00812D16" w:rsidP="00A7195A">
      <w:pPr>
        <w:keepNext/>
        <w:spacing w:line="240" w:lineRule="auto"/>
        <w:ind w:left="567" w:hanging="567"/>
        <w:outlineLvl w:val="0"/>
        <w:rPr>
          <w:szCs w:val="22"/>
          <w:lang w:val="nl-NL"/>
        </w:rPr>
      </w:pPr>
      <w:r w:rsidRPr="000D625A">
        <w:rPr>
          <w:b/>
          <w:bCs/>
          <w:szCs w:val="22"/>
          <w:lang w:val="nl-NL"/>
        </w:rPr>
        <w:t>4.6</w:t>
      </w:r>
      <w:r w:rsidRPr="000D625A">
        <w:rPr>
          <w:b/>
          <w:bCs/>
          <w:szCs w:val="22"/>
          <w:lang w:val="nl-NL"/>
        </w:rPr>
        <w:tab/>
        <w:t>Vruchtbaarheid, zwangerschap en borstvoeding</w:t>
      </w:r>
    </w:p>
    <w:p w:rsidR="00812D16" w:rsidRPr="000D625A" w:rsidRDefault="00812D16" w:rsidP="00A7195A">
      <w:pPr>
        <w:keepNext/>
        <w:spacing w:line="240" w:lineRule="auto"/>
        <w:rPr>
          <w:szCs w:val="22"/>
          <w:lang w:val="nl-NL"/>
        </w:rPr>
      </w:pPr>
    </w:p>
    <w:p w:rsidR="00520DD6" w:rsidRPr="000D625A" w:rsidRDefault="00520DD6" w:rsidP="00A7195A">
      <w:pPr>
        <w:keepNext/>
        <w:rPr>
          <w:szCs w:val="22"/>
          <w:u w:val="single"/>
          <w:lang w:val="nl-NL"/>
        </w:rPr>
      </w:pPr>
      <w:r w:rsidRPr="000D625A">
        <w:rPr>
          <w:szCs w:val="22"/>
          <w:u w:val="single"/>
          <w:lang w:val="nl-NL"/>
        </w:rPr>
        <w:t>Zwangerschap</w:t>
      </w:r>
    </w:p>
    <w:p w:rsidR="00520DD6" w:rsidRPr="000D625A" w:rsidRDefault="00520DD6" w:rsidP="006008DC">
      <w:pPr>
        <w:keepLines/>
        <w:rPr>
          <w:szCs w:val="22"/>
          <w:lang w:val="nl-NL"/>
        </w:rPr>
      </w:pPr>
      <w:r w:rsidRPr="000D625A">
        <w:rPr>
          <w:szCs w:val="22"/>
          <w:lang w:val="nl-NL"/>
        </w:rPr>
        <w:t>REKOVELLE is ge</w:t>
      </w:r>
      <w:r w:rsidR="00BA1D5C">
        <w:rPr>
          <w:szCs w:val="22"/>
          <w:lang w:val="nl-NL"/>
        </w:rPr>
        <w:t>contra-</w:t>
      </w:r>
      <w:r w:rsidR="002C02EF">
        <w:rPr>
          <w:szCs w:val="22"/>
          <w:lang w:val="nl-NL"/>
        </w:rPr>
        <w:t>i</w:t>
      </w:r>
      <w:r w:rsidRPr="000D625A">
        <w:rPr>
          <w:szCs w:val="22"/>
          <w:lang w:val="nl-NL"/>
        </w:rPr>
        <w:t xml:space="preserve">ndiceerd tijdens </w:t>
      </w:r>
      <w:r w:rsidR="00A02005">
        <w:rPr>
          <w:szCs w:val="22"/>
          <w:lang w:val="nl-NL"/>
        </w:rPr>
        <w:t xml:space="preserve">de </w:t>
      </w:r>
      <w:r w:rsidRPr="000D625A">
        <w:rPr>
          <w:szCs w:val="22"/>
          <w:lang w:val="nl-NL"/>
        </w:rPr>
        <w:t xml:space="preserve">zwangerschap. </w:t>
      </w:r>
      <w:r w:rsidR="00A02005">
        <w:rPr>
          <w:szCs w:val="22"/>
          <w:lang w:val="nl-NL"/>
        </w:rPr>
        <w:t xml:space="preserve">Er </w:t>
      </w:r>
      <w:r w:rsidRPr="000D625A">
        <w:rPr>
          <w:szCs w:val="22"/>
          <w:lang w:val="nl-NL"/>
        </w:rPr>
        <w:t xml:space="preserve">zijn geen teratogene risico’s gemeld </w:t>
      </w:r>
      <w:r w:rsidR="00A02005">
        <w:rPr>
          <w:szCs w:val="22"/>
          <w:lang w:val="nl-NL"/>
        </w:rPr>
        <w:t xml:space="preserve">bij klinisch gebruik van </w:t>
      </w:r>
      <w:r w:rsidRPr="000D625A">
        <w:rPr>
          <w:szCs w:val="22"/>
          <w:lang w:val="nl-NL"/>
        </w:rPr>
        <w:t>gonadotrofinen voor gecontroleerde ovariumstimulatie. Er zijn geen gegevens over onbedoelde blootstelling aan REKOVELLE bij zwangere vrouwen. Uit dier</w:t>
      </w:r>
      <w:r w:rsidR="00A02005">
        <w:rPr>
          <w:szCs w:val="22"/>
          <w:lang w:val="nl-NL"/>
        </w:rPr>
        <w:t>onderzoek</w:t>
      </w:r>
      <w:r w:rsidRPr="000D625A">
        <w:rPr>
          <w:szCs w:val="22"/>
          <w:lang w:val="nl-NL"/>
        </w:rPr>
        <w:t xml:space="preserve"> met doses REKOVELLE boven de aanbevolen maximumdosis voor mensen </w:t>
      </w:r>
      <w:r w:rsidR="00A02005">
        <w:rPr>
          <w:szCs w:val="22"/>
          <w:lang w:val="nl-NL"/>
        </w:rPr>
        <w:t>is</w:t>
      </w:r>
      <w:r w:rsidRPr="000D625A">
        <w:rPr>
          <w:szCs w:val="22"/>
          <w:lang w:val="nl-NL"/>
        </w:rPr>
        <w:t xml:space="preserve"> reproductietoxiciteit </w:t>
      </w:r>
      <w:r w:rsidR="00A02005">
        <w:rPr>
          <w:szCs w:val="22"/>
          <w:lang w:val="nl-NL"/>
        </w:rPr>
        <w:t xml:space="preserve">gebleken </w:t>
      </w:r>
      <w:r w:rsidRPr="000D625A">
        <w:rPr>
          <w:szCs w:val="22"/>
          <w:lang w:val="nl-NL"/>
        </w:rPr>
        <w:t>(</w:t>
      </w:r>
      <w:r w:rsidR="00BA1D5C">
        <w:rPr>
          <w:szCs w:val="22"/>
          <w:lang w:val="nl-NL"/>
        </w:rPr>
        <w:t xml:space="preserve">zie </w:t>
      </w:r>
      <w:r w:rsidRPr="000D625A">
        <w:rPr>
          <w:szCs w:val="22"/>
          <w:lang w:val="nl-NL"/>
        </w:rPr>
        <w:t>rubriek</w:t>
      </w:r>
      <w:r w:rsidR="00B90604" w:rsidRPr="000D625A">
        <w:rPr>
          <w:szCs w:val="22"/>
          <w:lang w:val="nl-NL"/>
        </w:rPr>
        <w:t> </w:t>
      </w:r>
      <w:r w:rsidRPr="000D625A">
        <w:rPr>
          <w:szCs w:val="22"/>
          <w:lang w:val="nl-NL"/>
        </w:rPr>
        <w:t xml:space="preserve">5.3). </w:t>
      </w:r>
    </w:p>
    <w:p w:rsidR="00520DD6" w:rsidRPr="000D625A" w:rsidRDefault="00520DD6" w:rsidP="00520DD6">
      <w:pPr>
        <w:rPr>
          <w:szCs w:val="22"/>
          <w:lang w:val="nl-NL"/>
        </w:rPr>
      </w:pPr>
    </w:p>
    <w:p w:rsidR="00520DD6" w:rsidRPr="000D625A" w:rsidRDefault="00520DD6" w:rsidP="006008DC">
      <w:pPr>
        <w:keepLines/>
        <w:rPr>
          <w:szCs w:val="22"/>
          <w:u w:val="single"/>
          <w:lang w:val="nl-NL"/>
        </w:rPr>
      </w:pPr>
      <w:r w:rsidRPr="000D625A">
        <w:rPr>
          <w:szCs w:val="22"/>
          <w:u w:val="single"/>
          <w:lang w:val="nl-NL"/>
        </w:rPr>
        <w:t>Borstvoeding</w:t>
      </w:r>
    </w:p>
    <w:p w:rsidR="00520DD6" w:rsidRPr="000D625A" w:rsidRDefault="00520DD6" w:rsidP="006008DC">
      <w:pPr>
        <w:keepLines/>
        <w:rPr>
          <w:szCs w:val="22"/>
          <w:lang w:val="nl-NL"/>
        </w:rPr>
      </w:pPr>
      <w:r w:rsidRPr="000D625A">
        <w:rPr>
          <w:szCs w:val="22"/>
          <w:lang w:val="nl-NL"/>
        </w:rPr>
        <w:t>REKOVELLE is ge</w:t>
      </w:r>
      <w:r w:rsidR="00BA1D5C">
        <w:rPr>
          <w:szCs w:val="22"/>
          <w:lang w:val="nl-NL"/>
        </w:rPr>
        <w:t>contra-</w:t>
      </w:r>
      <w:r w:rsidR="002C02EF">
        <w:rPr>
          <w:szCs w:val="22"/>
          <w:lang w:val="nl-NL"/>
        </w:rPr>
        <w:t>i</w:t>
      </w:r>
      <w:r w:rsidRPr="000D625A">
        <w:rPr>
          <w:szCs w:val="22"/>
          <w:lang w:val="nl-NL"/>
        </w:rPr>
        <w:t>ndiceerd tijdens borstvoeding.</w:t>
      </w:r>
    </w:p>
    <w:p w:rsidR="00026CCA" w:rsidRPr="000D625A" w:rsidRDefault="00026CCA" w:rsidP="00520DD6">
      <w:pPr>
        <w:rPr>
          <w:szCs w:val="22"/>
          <w:lang w:val="nl-NL"/>
        </w:rPr>
      </w:pPr>
    </w:p>
    <w:p w:rsidR="00026CCA" w:rsidRPr="000D625A" w:rsidRDefault="00026CCA" w:rsidP="006008DC">
      <w:pPr>
        <w:keepLines/>
        <w:rPr>
          <w:szCs w:val="22"/>
          <w:u w:val="single"/>
          <w:lang w:val="nl-NL"/>
        </w:rPr>
      </w:pPr>
      <w:r w:rsidRPr="000D625A">
        <w:rPr>
          <w:szCs w:val="22"/>
          <w:u w:val="single"/>
          <w:lang w:val="nl-NL"/>
        </w:rPr>
        <w:t>Vruchtbaarheid</w:t>
      </w:r>
    </w:p>
    <w:p w:rsidR="00026CCA" w:rsidRPr="000D625A" w:rsidRDefault="00026CCA" w:rsidP="006008DC">
      <w:pPr>
        <w:keepLines/>
        <w:rPr>
          <w:szCs w:val="22"/>
          <w:lang w:val="nl-NL"/>
        </w:rPr>
      </w:pPr>
      <w:r w:rsidRPr="000D625A">
        <w:rPr>
          <w:szCs w:val="22"/>
          <w:lang w:val="nl-NL"/>
        </w:rPr>
        <w:lastRenderedPageBreak/>
        <w:t>REKOVELLE is geïndiceerd voor gebruik bij onvruchtbaarheid (zie rubriek</w:t>
      </w:r>
      <w:r w:rsidR="00B90604" w:rsidRPr="000D625A">
        <w:rPr>
          <w:szCs w:val="22"/>
          <w:lang w:val="nl-NL"/>
        </w:rPr>
        <w:t> </w:t>
      </w:r>
      <w:r w:rsidRPr="000D625A">
        <w:rPr>
          <w:szCs w:val="22"/>
          <w:lang w:val="nl-NL"/>
        </w:rPr>
        <w:t>4.1).</w:t>
      </w:r>
    </w:p>
    <w:p w:rsidR="00812D16" w:rsidRPr="000D625A" w:rsidRDefault="00812D16" w:rsidP="00204AAB">
      <w:pPr>
        <w:spacing w:line="240" w:lineRule="auto"/>
        <w:rPr>
          <w:szCs w:val="22"/>
          <w:lang w:val="nl-NL"/>
        </w:rPr>
      </w:pPr>
    </w:p>
    <w:p w:rsidR="00812D16" w:rsidRPr="000D625A" w:rsidRDefault="00812D16" w:rsidP="006008DC">
      <w:pPr>
        <w:keepLines/>
        <w:spacing w:line="240" w:lineRule="auto"/>
        <w:ind w:left="567" w:hanging="567"/>
        <w:outlineLvl w:val="0"/>
        <w:rPr>
          <w:szCs w:val="22"/>
          <w:lang w:val="nl-NL"/>
        </w:rPr>
      </w:pPr>
      <w:r w:rsidRPr="000D625A">
        <w:rPr>
          <w:b/>
          <w:bCs/>
          <w:szCs w:val="22"/>
          <w:lang w:val="nl-NL"/>
        </w:rPr>
        <w:t>4.7</w:t>
      </w:r>
      <w:r w:rsidRPr="000D625A">
        <w:rPr>
          <w:b/>
          <w:bCs/>
          <w:szCs w:val="22"/>
          <w:lang w:val="nl-NL"/>
        </w:rPr>
        <w:tab/>
        <w:t>Beïnvloeding van de rijvaardigheid en het vermogen om machines te bedienen</w:t>
      </w:r>
    </w:p>
    <w:p w:rsidR="00812D16" w:rsidRPr="000D625A" w:rsidRDefault="00812D16" w:rsidP="006008DC">
      <w:pPr>
        <w:keepLines/>
        <w:spacing w:line="240" w:lineRule="auto"/>
        <w:rPr>
          <w:szCs w:val="22"/>
          <w:lang w:val="nl-NL"/>
        </w:rPr>
      </w:pPr>
    </w:p>
    <w:p w:rsidR="00B64B2F" w:rsidRPr="000D625A" w:rsidRDefault="0089173D" w:rsidP="006008DC">
      <w:pPr>
        <w:keepLines/>
        <w:spacing w:line="240" w:lineRule="auto"/>
        <w:rPr>
          <w:szCs w:val="22"/>
          <w:lang w:val="nl-NL"/>
        </w:rPr>
      </w:pPr>
      <w:r w:rsidRPr="000D625A">
        <w:rPr>
          <w:szCs w:val="22"/>
          <w:lang w:val="nl-NL"/>
        </w:rPr>
        <w:t xml:space="preserve">REKOVELLE heeft geen of een verwaarloosbare invloed op de rijvaardigheid </w:t>
      </w:r>
      <w:r w:rsidR="00A02005">
        <w:rPr>
          <w:szCs w:val="22"/>
          <w:lang w:val="nl-NL"/>
        </w:rPr>
        <w:t xml:space="preserve">en op </w:t>
      </w:r>
      <w:r w:rsidRPr="000D625A">
        <w:rPr>
          <w:szCs w:val="22"/>
          <w:lang w:val="nl-NL"/>
        </w:rPr>
        <w:t>het vermogen om machines te bedienen.</w:t>
      </w:r>
    </w:p>
    <w:p w:rsidR="00812D16" w:rsidRPr="000D625A" w:rsidRDefault="00812D16" w:rsidP="00204AAB">
      <w:pPr>
        <w:spacing w:line="240" w:lineRule="auto"/>
        <w:rPr>
          <w:szCs w:val="22"/>
          <w:lang w:val="nl-NL"/>
        </w:rPr>
      </w:pPr>
    </w:p>
    <w:p w:rsidR="00812D16" w:rsidRPr="000D625A" w:rsidRDefault="00855481" w:rsidP="0072565A">
      <w:pPr>
        <w:keepNext/>
        <w:spacing w:line="240" w:lineRule="auto"/>
        <w:outlineLvl w:val="0"/>
        <w:rPr>
          <w:b/>
          <w:szCs w:val="22"/>
          <w:lang w:val="nl-NL"/>
        </w:rPr>
      </w:pPr>
      <w:r w:rsidRPr="000D625A">
        <w:rPr>
          <w:b/>
          <w:bCs/>
          <w:szCs w:val="22"/>
          <w:lang w:val="nl-NL"/>
        </w:rPr>
        <w:t>4.8</w:t>
      </w:r>
      <w:r w:rsidRPr="000D625A">
        <w:rPr>
          <w:b/>
          <w:bCs/>
          <w:szCs w:val="22"/>
          <w:lang w:val="nl-NL"/>
        </w:rPr>
        <w:tab/>
        <w:t>Bijwerkingen</w:t>
      </w:r>
    </w:p>
    <w:p w:rsidR="00812D16" w:rsidRPr="000D625A" w:rsidRDefault="00812D16" w:rsidP="00204AAB">
      <w:pPr>
        <w:autoSpaceDE w:val="0"/>
        <w:autoSpaceDN w:val="0"/>
        <w:adjustRightInd w:val="0"/>
        <w:spacing w:line="240" w:lineRule="auto"/>
        <w:jc w:val="both"/>
        <w:rPr>
          <w:szCs w:val="22"/>
          <w:lang w:val="nl-NL"/>
        </w:rPr>
      </w:pPr>
    </w:p>
    <w:p w:rsidR="00230C1E" w:rsidRPr="000D625A" w:rsidRDefault="00230C1E" w:rsidP="006008DC">
      <w:pPr>
        <w:keepLines/>
        <w:autoSpaceDE w:val="0"/>
        <w:autoSpaceDN w:val="0"/>
        <w:adjustRightInd w:val="0"/>
        <w:spacing w:line="240" w:lineRule="auto"/>
        <w:jc w:val="both"/>
        <w:rPr>
          <w:szCs w:val="22"/>
          <w:u w:val="single"/>
          <w:lang w:val="nl-NL"/>
        </w:rPr>
      </w:pPr>
      <w:r w:rsidRPr="000D625A">
        <w:rPr>
          <w:szCs w:val="22"/>
          <w:u w:val="single"/>
          <w:lang w:val="nl-NL"/>
        </w:rPr>
        <w:t>Samenvatting van het veiligheidsprofiel</w:t>
      </w:r>
    </w:p>
    <w:p w:rsidR="00235226" w:rsidRPr="000D625A" w:rsidRDefault="00235226" w:rsidP="006008DC">
      <w:pPr>
        <w:keepLines/>
        <w:rPr>
          <w:rFonts w:eastAsia="Calibri"/>
          <w:szCs w:val="22"/>
          <w:lang w:val="nl-NL"/>
        </w:rPr>
      </w:pPr>
      <w:r w:rsidRPr="000D625A">
        <w:rPr>
          <w:rFonts w:eastAsia="Calibri"/>
          <w:szCs w:val="22"/>
          <w:lang w:val="nl-NL"/>
        </w:rPr>
        <w:t xml:space="preserve">De meest gemelde bijwerkingen tijdens een behandeling met REKOVELLE zijn hoofdpijn, bekkenklachten, </w:t>
      </w:r>
      <w:r w:rsidR="00B90604" w:rsidRPr="000D625A">
        <w:rPr>
          <w:rFonts w:eastAsia="Calibri"/>
          <w:szCs w:val="22"/>
          <w:lang w:val="nl-NL"/>
        </w:rPr>
        <w:t>OHSS</w:t>
      </w:r>
      <w:r w:rsidRPr="000D625A">
        <w:rPr>
          <w:rFonts w:eastAsia="Calibri"/>
          <w:szCs w:val="22"/>
          <w:lang w:val="nl-NL"/>
        </w:rPr>
        <w:t xml:space="preserve">, bekkenpijn, misselijkheid, pijnlijke uterus en/of adnexen en vermoeidheid. Klinische </w:t>
      </w:r>
      <w:r w:rsidR="00C613BB">
        <w:rPr>
          <w:rFonts w:eastAsia="Calibri"/>
          <w:szCs w:val="22"/>
          <w:lang w:val="nl-NL"/>
        </w:rPr>
        <w:t>onderzoeken</w:t>
      </w:r>
      <w:r w:rsidR="00C613BB" w:rsidRPr="000D625A">
        <w:rPr>
          <w:rFonts w:eastAsia="Calibri"/>
          <w:szCs w:val="22"/>
          <w:lang w:val="nl-NL"/>
        </w:rPr>
        <w:t xml:space="preserve"> </w:t>
      </w:r>
      <w:r w:rsidRPr="000D625A">
        <w:rPr>
          <w:rFonts w:eastAsia="Calibri"/>
          <w:szCs w:val="22"/>
          <w:lang w:val="nl-NL"/>
        </w:rPr>
        <w:t xml:space="preserve">duiden erop dat de frequentie van deze bijwerkingen zou kunnen afnemen bij herhaalde behandelingscycli. </w:t>
      </w:r>
    </w:p>
    <w:p w:rsidR="00230C1E" w:rsidRPr="000D625A" w:rsidRDefault="00230C1E" w:rsidP="00235226">
      <w:pPr>
        <w:rPr>
          <w:rFonts w:eastAsia="Calibri"/>
          <w:szCs w:val="22"/>
          <w:lang w:val="nl-NL"/>
        </w:rPr>
      </w:pPr>
    </w:p>
    <w:p w:rsidR="00230C1E" w:rsidRPr="000D625A" w:rsidRDefault="00230C1E" w:rsidP="006008DC">
      <w:pPr>
        <w:keepLines/>
        <w:rPr>
          <w:rFonts w:eastAsia="Calibri"/>
          <w:szCs w:val="22"/>
          <w:u w:val="single"/>
          <w:lang w:val="nl-NL"/>
        </w:rPr>
      </w:pPr>
      <w:r w:rsidRPr="000D625A">
        <w:rPr>
          <w:rFonts w:eastAsia="Calibri"/>
          <w:szCs w:val="22"/>
          <w:u w:val="single"/>
          <w:lang w:val="nl-NL"/>
        </w:rPr>
        <w:t>Lijst van de bijwerkingen</w:t>
      </w:r>
    </w:p>
    <w:p w:rsidR="00235226" w:rsidRPr="000D625A" w:rsidRDefault="00235226" w:rsidP="006008DC">
      <w:pPr>
        <w:keepLines/>
        <w:rPr>
          <w:rFonts w:eastAsia="Calibri"/>
          <w:szCs w:val="22"/>
          <w:lang w:val="nl-NL"/>
        </w:rPr>
      </w:pPr>
      <w:r w:rsidRPr="000D625A">
        <w:rPr>
          <w:rFonts w:eastAsia="Calibri"/>
          <w:szCs w:val="22"/>
          <w:lang w:val="nl-NL"/>
        </w:rPr>
        <w:t>De onderstaande tabel (tabel</w:t>
      </w:r>
      <w:r w:rsidR="00B90604" w:rsidRPr="000D625A">
        <w:rPr>
          <w:rFonts w:eastAsia="Calibri"/>
          <w:szCs w:val="22"/>
          <w:lang w:val="nl-NL"/>
        </w:rPr>
        <w:t> </w:t>
      </w:r>
      <w:r w:rsidRPr="000D625A">
        <w:rPr>
          <w:rFonts w:eastAsia="Calibri"/>
          <w:szCs w:val="22"/>
          <w:lang w:val="nl-NL"/>
        </w:rPr>
        <w:t xml:space="preserve">2) toont de bijwerkingen bij patiënten die met REKOVELLE behandeld </w:t>
      </w:r>
      <w:r w:rsidR="004465F0">
        <w:rPr>
          <w:rFonts w:eastAsia="Calibri"/>
          <w:szCs w:val="22"/>
          <w:lang w:val="nl-NL"/>
        </w:rPr>
        <w:t xml:space="preserve">zijn </w:t>
      </w:r>
      <w:r w:rsidRPr="000D625A">
        <w:rPr>
          <w:rFonts w:eastAsia="Calibri"/>
          <w:szCs w:val="22"/>
          <w:lang w:val="nl-NL"/>
        </w:rPr>
        <w:t xml:space="preserve">in de klinische </w:t>
      </w:r>
      <w:r w:rsidR="00C613BB" w:rsidRPr="000D625A">
        <w:rPr>
          <w:rFonts w:eastAsia="Calibri"/>
          <w:szCs w:val="22"/>
          <w:lang w:val="nl-NL"/>
        </w:rPr>
        <w:t>hoofd</w:t>
      </w:r>
      <w:r w:rsidR="00C613BB">
        <w:rPr>
          <w:rFonts w:eastAsia="Calibri"/>
          <w:szCs w:val="22"/>
          <w:lang w:val="nl-NL"/>
        </w:rPr>
        <w:t>onderzoeken</w:t>
      </w:r>
      <w:r w:rsidR="00C613BB" w:rsidRPr="000D625A">
        <w:rPr>
          <w:rFonts w:eastAsia="Calibri"/>
          <w:szCs w:val="22"/>
          <w:lang w:val="nl-NL"/>
        </w:rPr>
        <w:t xml:space="preserve"> </w:t>
      </w:r>
      <w:r w:rsidRPr="000D625A">
        <w:rPr>
          <w:rFonts w:eastAsia="Calibri"/>
          <w:szCs w:val="22"/>
          <w:lang w:val="nl-NL"/>
        </w:rPr>
        <w:t xml:space="preserve">volgens </w:t>
      </w:r>
      <w:r w:rsidR="00B90604" w:rsidRPr="000D625A">
        <w:rPr>
          <w:rFonts w:eastAsia="Calibri"/>
          <w:szCs w:val="22"/>
          <w:lang w:val="nl-NL"/>
        </w:rPr>
        <w:t>MedDRA</w:t>
      </w:r>
      <w:r w:rsidR="00B90604" w:rsidRPr="000D625A">
        <w:rPr>
          <w:rFonts w:eastAsia="Calibri"/>
          <w:szCs w:val="22"/>
          <w:lang w:val="nl-NL"/>
        </w:rPr>
        <w:noBreakHyphen/>
      </w:r>
      <w:r w:rsidRPr="000D625A">
        <w:rPr>
          <w:rFonts w:eastAsia="Calibri"/>
          <w:szCs w:val="22"/>
          <w:lang w:val="nl-NL"/>
        </w:rPr>
        <w:t>systeem/orgaanklasse en frequentie</w:t>
      </w:r>
      <w:r w:rsidR="00B90604" w:rsidRPr="000D625A">
        <w:rPr>
          <w:rFonts w:eastAsia="Calibri"/>
          <w:szCs w:val="22"/>
          <w:lang w:val="nl-NL"/>
        </w:rPr>
        <w:t>:</w:t>
      </w:r>
      <w:r w:rsidRPr="000D625A">
        <w:rPr>
          <w:rFonts w:eastAsia="Calibri"/>
          <w:szCs w:val="22"/>
          <w:lang w:val="nl-NL"/>
        </w:rPr>
        <w:t xml:space="preserve"> vaak (≥</w:t>
      </w:r>
      <w:r w:rsidR="004465F0">
        <w:rPr>
          <w:rFonts w:eastAsia="Calibri"/>
          <w:szCs w:val="22"/>
          <w:lang w:val="nl-NL"/>
        </w:rPr>
        <w:t> </w:t>
      </w:r>
      <w:r w:rsidRPr="000D625A">
        <w:rPr>
          <w:rFonts w:eastAsia="Calibri"/>
          <w:szCs w:val="22"/>
          <w:lang w:val="nl-NL"/>
        </w:rPr>
        <w:t>1/100</w:t>
      </w:r>
      <w:r w:rsidR="00B90604" w:rsidRPr="000D625A">
        <w:rPr>
          <w:rFonts w:eastAsia="Calibri"/>
          <w:szCs w:val="22"/>
          <w:lang w:val="nl-NL"/>
        </w:rPr>
        <w:t>,</w:t>
      </w:r>
      <w:r w:rsidRPr="000D625A">
        <w:rPr>
          <w:rFonts w:eastAsia="Calibri"/>
          <w:szCs w:val="22"/>
          <w:lang w:val="nl-NL"/>
        </w:rPr>
        <w:t xml:space="preserve"> &lt;</w:t>
      </w:r>
      <w:r w:rsidR="009A2C2D">
        <w:rPr>
          <w:rFonts w:eastAsia="Calibri"/>
          <w:szCs w:val="22"/>
          <w:lang w:val="nl-NL"/>
        </w:rPr>
        <w:t> </w:t>
      </w:r>
      <w:r w:rsidRPr="000D625A">
        <w:rPr>
          <w:rFonts w:eastAsia="Calibri"/>
          <w:szCs w:val="22"/>
          <w:lang w:val="nl-NL"/>
        </w:rPr>
        <w:t>1/10) en soms (≥</w:t>
      </w:r>
      <w:r w:rsidR="009A2C2D">
        <w:rPr>
          <w:rFonts w:eastAsia="Calibri"/>
          <w:szCs w:val="22"/>
          <w:lang w:val="nl-NL"/>
        </w:rPr>
        <w:t> </w:t>
      </w:r>
      <w:r w:rsidRPr="000D625A">
        <w:rPr>
          <w:rFonts w:eastAsia="Calibri"/>
          <w:szCs w:val="22"/>
          <w:lang w:val="nl-NL"/>
        </w:rPr>
        <w:t>1/1000</w:t>
      </w:r>
      <w:r w:rsidR="00B90604" w:rsidRPr="000D625A">
        <w:rPr>
          <w:rFonts w:eastAsia="Calibri"/>
          <w:szCs w:val="22"/>
          <w:lang w:val="nl-NL"/>
        </w:rPr>
        <w:t>,</w:t>
      </w:r>
      <w:r w:rsidRPr="000D625A">
        <w:rPr>
          <w:rFonts w:eastAsia="Calibri"/>
          <w:szCs w:val="22"/>
          <w:lang w:val="nl-NL"/>
        </w:rPr>
        <w:t xml:space="preserve"> &lt;</w:t>
      </w:r>
      <w:r w:rsidR="009A2C2D">
        <w:rPr>
          <w:rFonts w:eastAsia="Calibri"/>
          <w:szCs w:val="22"/>
          <w:lang w:val="nl-NL"/>
        </w:rPr>
        <w:t> </w:t>
      </w:r>
      <w:r w:rsidRPr="000D625A">
        <w:rPr>
          <w:rFonts w:eastAsia="Calibri"/>
          <w:szCs w:val="22"/>
          <w:lang w:val="nl-NL"/>
        </w:rPr>
        <w:t>1/100). Binnen iedere frequentiegroep zijn de bijwerkingen gerangschikt naar afnemende ernst.</w:t>
      </w:r>
    </w:p>
    <w:p w:rsidR="00235226" w:rsidRPr="000D625A" w:rsidRDefault="00235226" w:rsidP="00235226">
      <w:pPr>
        <w:rPr>
          <w:rFonts w:eastAsia="Calibri"/>
          <w:szCs w:val="22"/>
          <w:lang w:val="nl-NL"/>
        </w:rPr>
      </w:pPr>
    </w:p>
    <w:p w:rsidR="00235226" w:rsidRPr="006008DC" w:rsidRDefault="00235226" w:rsidP="00235226">
      <w:pPr>
        <w:pStyle w:val="Caption"/>
        <w:rPr>
          <w:sz w:val="24"/>
          <w:lang w:val="nl-NL"/>
        </w:rPr>
      </w:pPr>
      <w:r w:rsidRPr="000D625A">
        <w:rPr>
          <w:sz w:val="22"/>
          <w:lang w:val="nl-NL"/>
        </w:rPr>
        <w:t>Tabel</w:t>
      </w:r>
      <w:r w:rsidR="00B90604" w:rsidRPr="000D625A">
        <w:rPr>
          <w:sz w:val="22"/>
          <w:lang w:val="nl-NL"/>
        </w:rPr>
        <w:t> </w:t>
      </w:r>
      <w:r w:rsidRPr="000D625A">
        <w:rPr>
          <w:sz w:val="22"/>
          <w:lang w:val="nl-NL"/>
        </w:rPr>
        <w:fldChar w:fldCharType="begin"/>
      </w:r>
      <w:r w:rsidRPr="000D625A">
        <w:rPr>
          <w:sz w:val="22"/>
          <w:lang w:val="nl-NL"/>
        </w:rPr>
        <w:instrText xml:space="preserve"> SEQ Table \* ARABIC </w:instrText>
      </w:r>
      <w:r w:rsidRPr="000D625A">
        <w:rPr>
          <w:sz w:val="22"/>
          <w:lang w:val="nl-NL"/>
        </w:rPr>
        <w:fldChar w:fldCharType="separate"/>
      </w:r>
      <w:r w:rsidRPr="000D625A">
        <w:rPr>
          <w:sz w:val="22"/>
          <w:lang w:val="nl-NL"/>
        </w:rPr>
        <w:t>2</w:t>
      </w:r>
      <w:r w:rsidRPr="000D625A">
        <w:rPr>
          <w:sz w:val="22"/>
          <w:lang w:val="nl-NL"/>
        </w:rPr>
        <w:fldChar w:fldCharType="end"/>
      </w:r>
      <w:r w:rsidRPr="000D625A">
        <w:rPr>
          <w:sz w:val="22"/>
          <w:lang w:val="nl-NL"/>
        </w:rPr>
        <w:t xml:space="preserve"> Bijwerkingen in klinische </w:t>
      </w:r>
      <w:r w:rsidR="00C613BB" w:rsidRPr="000D625A">
        <w:rPr>
          <w:sz w:val="22"/>
          <w:lang w:val="nl-NL"/>
        </w:rPr>
        <w:t>hoofd</w:t>
      </w:r>
      <w:r w:rsidR="00C613BB">
        <w:rPr>
          <w:sz w:val="22"/>
          <w:lang w:val="nl-NL"/>
        </w:rPr>
        <w:t>onderzoeken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4"/>
        <w:gridCol w:w="2619"/>
        <w:gridCol w:w="3574"/>
      </w:tblGrid>
      <w:tr w:rsidR="00235226" w:rsidRPr="000D625A" w:rsidTr="0089173D">
        <w:trPr>
          <w:trHeight w:val="514"/>
        </w:trPr>
        <w:tc>
          <w:tcPr>
            <w:tcW w:w="1666" w:type="pct"/>
            <w:shd w:val="clear" w:color="auto" w:fill="auto"/>
            <w:vAlign w:val="center"/>
          </w:tcPr>
          <w:p w:rsidR="00235226" w:rsidRPr="000D625A" w:rsidRDefault="00235226" w:rsidP="0089173D">
            <w:pPr>
              <w:rPr>
                <w:b/>
                <w:lang w:val="nl-NL"/>
              </w:rPr>
            </w:pPr>
            <w:r w:rsidRPr="000D625A">
              <w:rPr>
                <w:b/>
                <w:bCs/>
                <w:lang w:val="nl-NL"/>
              </w:rPr>
              <w:t>Systeem/orgaanklasse</w:t>
            </w:r>
          </w:p>
        </w:tc>
        <w:tc>
          <w:tcPr>
            <w:tcW w:w="1410" w:type="pct"/>
            <w:shd w:val="clear" w:color="auto" w:fill="auto"/>
            <w:vAlign w:val="center"/>
          </w:tcPr>
          <w:p w:rsidR="00235226" w:rsidRPr="000D625A" w:rsidRDefault="00235226" w:rsidP="00894C1A">
            <w:pPr>
              <w:spacing w:before="40" w:after="40" w:line="220" w:lineRule="exact"/>
              <w:rPr>
                <w:b/>
                <w:snapToGrid w:val="0"/>
                <w:lang w:val="nl-NL"/>
              </w:rPr>
            </w:pPr>
            <w:r w:rsidRPr="000D625A">
              <w:rPr>
                <w:b/>
                <w:bCs/>
                <w:snapToGrid w:val="0"/>
                <w:lang w:val="nl-NL"/>
              </w:rPr>
              <w:t xml:space="preserve">Vaak </w:t>
            </w:r>
            <w:r w:rsidRPr="000D625A">
              <w:rPr>
                <w:snapToGrid w:val="0"/>
                <w:lang w:val="nl-NL"/>
              </w:rPr>
              <w:br/>
            </w:r>
            <w:r w:rsidR="009A2C2D">
              <w:rPr>
                <w:b/>
                <w:bCs/>
                <w:snapToGrid w:val="0"/>
                <w:lang w:val="nl-NL"/>
              </w:rPr>
              <w:t>(≥ </w:t>
            </w:r>
            <w:r w:rsidRPr="000D625A">
              <w:rPr>
                <w:b/>
                <w:bCs/>
                <w:snapToGrid w:val="0"/>
                <w:lang w:val="nl-NL"/>
              </w:rPr>
              <w:t>1/100</w:t>
            </w:r>
            <w:r w:rsidR="004465F0">
              <w:rPr>
                <w:b/>
                <w:bCs/>
                <w:snapToGrid w:val="0"/>
                <w:lang w:val="nl-NL"/>
              </w:rPr>
              <w:t>,</w:t>
            </w:r>
            <w:r w:rsidR="009A2C2D">
              <w:rPr>
                <w:b/>
                <w:bCs/>
                <w:snapToGrid w:val="0"/>
                <w:lang w:val="nl-NL"/>
              </w:rPr>
              <w:t xml:space="preserve"> &lt; </w:t>
            </w:r>
            <w:r w:rsidRPr="000D625A">
              <w:rPr>
                <w:b/>
                <w:bCs/>
                <w:snapToGrid w:val="0"/>
                <w:lang w:val="nl-NL"/>
              </w:rPr>
              <w:t>1/10)</w:t>
            </w:r>
          </w:p>
        </w:tc>
        <w:tc>
          <w:tcPr>
            <w:tcW w:w="1924" w:type="pct"/>
            <w:shd w:val="clear" w:color="auto" w:fill="auto"/>
            <w:vAlign w:val="center"/>
          </w:tcPr>
          <w:p w:rsidR="00235226" w:rsidRPr="000D625A" w:rsidRDefault="00235226" w:rsidP="00CB2212">
            <w:pPr>
              <w:spacing w:before="40" w:after="40" w:line="220" w:lineRule="exact"/>
              <w:rPr>
                <w:b/>
                <w:snapToGrid w:val="0"/>
                <w:lang w:val="nl-NL"/>
              </w:rPr>
            </w:pPr>
            <w:r w:rsidRPr="000D625A">
              <w:rPr>
                <w:b/>
                <w:bCs/>
                <w:snapToGrid w:val="0"/>
                <w:lang w:val="nl-NL"/>
              </w:rPr>
              <w:t xml:space="preserve">Soms </w:t>
            </w:r>
            <w:r w:rsidRPr="000D625A">
              <w:rPr>
                <w:snapToGrid w:val="0"/>
                <w:lang w:val="nl-NL"/>
              </w:rPr>
              <w:br/>
            </w:r>
            <w:r w:rsidR="009A2C2D">
              <w:rPr>
                <w:b/>
                <w:bCs/>
                <w:snapToGrid w:val="0"/>
                <w:lang w:val="nl-NL"/>
              </w:rPr>
              <w:t>(≥ </w:t>
            </w:r>
            <w:r w:rsidRPr="000D625A">
              <w:rPr>
                <w:b/>
                <w:bCs/>
                <w:snapToGrid w:val="0"/>
                <w:lang w:val="nl-NL"/>
              </w:rPr>
              <w:t>1/1000</w:t>
            </w:r>
            <w:r w:rsidR="004465F0">
              <w:rPr>
                <w:b/>
                <w:bCs/>
                <w:snapToGrid w:val="0"/>
                <w:lang w:val="nl-NL"/>
              </w:rPr>
              <w:t>,</w:t>
            </w:r>
            <w:r w:rsidR="009A2C2D">
              <w:rPr>
                <w:b/>
                <w:bCs/>
                <w:snapToGrid w:val="0"/>
                <w:lang w:val="nl-NL"/>
              </w:rPr>
              <w:t xml:space="preserve"> &lt; </w:t>
            </w:r>
            <w:r w:rsidRPr="000D625A">
              <w:rPr>
                <w:b/>
                <w:bCs/>
                <w:snapToGrid w:val="0"/>
                <w:lang w:val="nl-NL"/>
              </w:rPr>
              <w:t>1/100)</w:t>
            </w:r>
          </w:p>
        </w:tc>
      </w:tr>
      <w:tr w:rsidR="00235226" w:rsidRPr="000D625A" w:rsidTr="0089173D">
        <w:trPr>
          <w:trHeight w:val="408"/>
        </w:trPr>
        <w:tc>
          <w:tcPr>
            <w:tcW w:w="1666"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Psychische stoornissen</w:t>
            </w:r>
          </w:p>
        </w:tc>
        <w:tc>
          <w:tcPr>
            <w:tcW w:w="1410" w:type="pct"/>
            <w:shd w:val="clear" w:color="auto" w:fill="auto"/>
          </w:tcPr>
          <w:p w:rsidR="00235226" w:rsidRPr="000D625A" w:rsidRDefault="00235226" w:rsidP="0089173D">
            <w:pPr>
              <w:spacing w:after="40" w:line="220" w:lineRule="exact"/>
              <w:rPr>
                <w:snapToGrid w:val="0"/>
                <w:lang w:val="nl-NL"/>
              </w:rPr>
            </w:pPr>
          </w:p>
        </w:tc>
        <w:tc>
          <w:tcPr>
            <w:tcW w:w="1924"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Stemmingswisselingen</w:t>
            </w:r>
          </w:p>
          <w:p w:rsidR="00235226" w:rsidRPr="000D625A" w:rsidRDefault="00235226" w:rsidP="0089173D">
            <w:pPr>
              <w:spacing w:after="40" w:line="220" w:lineRule="exact"/>
              <w:rPr>
                <w:snapToGrid w:val="0"/>
                <w:lang w:val="nl-NL"/>
              </w:rPr>
            </w:pPr>
          </w:p>
        </w:tc>
      </w:tr>
      <w:tr w:rsidR="00235226" w:rsidRPr="000D625A" w:rsidTr="0089173D">
        <w:trPr>
          <w:trHeight w:val="408"/>
        </w:trPr>
        <w:tc>
          <w:tcPr>
            <w:tcW w:w="1666" w:type="pct"/>
            <w:shd w:val="clear" w:color="auto" w:fill="auto"/>
          </w:tcPr>
          <w:p w:rsidR="00235226" w:rsidRPr="000D625A" w:rsidRDefault="00404396" w:rsidP="0089173D">
            <w:pPr>
              <w:spacing w:after="40" w:line="220" w:lineRule="exact"/>
              <w:rPr>
                <w:snapToGrid w:val="0"/>
                <w:lang w:val="nl-NL"/>
              </w:rPr>
            </w:pPr>
            <w:r>
              <w:rPr>
                <w:snapToGrid w:val="0"/>
                <w:lang w:val="nl-NL"/>
              </w:rPr>
              <w:t>Zenuwstelselaandoeningen</w:t>
            </w:r>
          </w:p>
        </w:tc>
        <w:tc>
          <w:tcPr>
            <w:tcW w:w="1410"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Hoofdpijn</w:t>
            </w:r>
          </w:p>
        </w:tc>
        <w:tc>
          <w:tcPr>
            <w:tcW w:w="1924" w:type="pct"/>
            <w:shd w:val="clear" w:color="auto" w:fill="auto"/>
          </w:tcPr>
          <w:p w:rsidR="00235226" w:rsidRPr="000D625A" w:rsidRDefault="004465F0" w:rsidP="0089173D">
            <w:pPr>
              <w:spacing w:after="40" w:line="220" w:lineRule="exact"/>
              <w:rPr>
                <w:snapToGrid w:val="0"/>
                <w:lang w:val="nl-NL"/>
              </w:rPr>
            </w:pPr>
            <w:r>
              <w:rPr>
                <w:snapToGrid w:val="0"/>
                <w:lang w:val="nl-NL"/>
              </w:rPr>
              <w:t>Slaperigheid</w:t>
            </w:r>
          </w:p>
          <w:p w:rsidR="00235226" w:rsidRPr="000D625A" w:rsidRDefault="00235226" w:rsidP="0089173D">
            <w:pPr>
              <w:spacing w:after="40" w:line="220" w:lineRule="exact"/>
              <w:rPr>
                <w:snapToGrid w:val="0"/>
                <w:lang w:val="nl-NL"/>
              </w:rPr>
            </w:pPr>
            <w:r w:rsidRPr="000D625A">
              <w:rPr>
                <w:snapToGrid w:val="0"/>
                <w:lang w:val="nl-NL"/>
              </w:rPr>
              <w:t>Duizeligheid</w:t>
            </w:r>
          </w:p>
          <w:p w:rsidR="00235226" w:rsidRPr="000D625A" w:rsidRDefault="00235226" w:rsidP="0089173D">
            <w:pPr>
              <w:spacing w:after="40" w:line="220" w:lineRule="exact"/>
              <w:rPr>
                <w:snapToGrid w:val="0"/>
                <w:lang w:val="nl-NL"/>
              </w:rPr>
            </w:pPr>
          </w:p>
        </w:tc>
      </w:tr>
      <w:tr w:rsidR="00235226" w:rsidRPr="000D625A" w:rsidTr="0089173D">
        <w:trPr>
          <w:trHeight w:val="839"/>
        </w:trPr>
        <w:tc>
          <w:tcPr>
            <w:tcW w:w="1666" w:type="pct"/>
            <w:shd w:val="clear" w:color="auto" w:fill="auto"/>
          </w:tcPr>
          <w:p w:rsidR="00235226" w:rsidRPr="000D625A" w:rsidRDefault="00235226" w:rsidP="00404396">
            <w:pPr>
              <w:spacing w:after="40" w:line="220" w:lineRule="exact"/>
              <w:rPr>
                <w:snapToGrid w:val="0"/>
                <w:lang w:val="nl-NL"/>
              </w:rPr>
            </w:pPr>
            <w:r w:rsidRPr="000D625A">
              <w:rPr>
                <w:snapToGrid w:val="0"/>
                <w:lang w:val="nl-NL"/>
              </w:rPr>
              <w:t>Maag</w:t>
            </w:r>
            <w:r w:rsidR="00BA1D5C">
              <w:rPr>
                <w:snapToGrid w:val="0"/>
                <w:lang w:val="nl-NL"/>
              </w:rPr>
              <w:t>-</w:t>
            </w:r>
            <w:r w:rsidR="00404396" w:rsidRPr="000D625A">
              <w:rPr>
                <w:snapToGrid w:val="0"/>
                <w:lang w:val="nl-NL"/>
              </w:rPr>
              <w:t>darms</w:t>
            </w:r>
            <w:r w:rsidR="00404396">
              <w:rPr>
                <w:snapToGrid w:val="0"/>
                <w:lang w:val="nl-NL"/>
              </w:rPr>
              <w:t>telselaandoeningen</w:t>
            </w:r>
          </w:p>
        </w:tc>
        <w:tc>
          <w:tcPr>
            <w:tcW w:w="1410"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Misselijkheid</w:t>
            </w:r>
          </w:p>
        </w:tc>
        <w:tc>
          <w:tcPr>
            <w:tcW w:w="1924"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Diarree</w:t>
            </w:r>
          </w:p>
          <w:p w:rsidR="00235226" w:rsidRPr="000D625A" w:rsidRDefault="00235226" w:rsidP="0089173D">
            <w:pPr>
              <w:spacing w:after="40" w:line="220" w:lineRule="exact"/>
              <w:rPr>
                <w:snapToGrid w:val="0"/>
                <w:lang w:val="nl-NL"/>
              </w:rPr>
            </w:pPr>
            <w:r w:rsidRPr="000D625A">
              <w:rPr>
                <w:snapToGrid w:val="0"/>
                <w:lang w:val="nl-NL"/>
              </w:rPr>
              <w:t>Braken</w:t>
            </w:r>
          </w:p>
          <w:p w:rsidR="00235226" w:rsidRPr="000D625A" w:rsidRDefault="00235226" w:rsidP="0089173D">
            <w:pPr>
              <w:spacing w:after="40" w:line="220" w:lineRule="exact"/>
              <w:rPr>
                <w:snapToGrid w:val="0"/>
                <w:lang w:val="nl-NL"/>
              </w:rPr>
            </w:pPr>
            <w:r w:rsidRPr="000D625A">
              <w:rPr>
                <w:snapToGrid w:val="0"/>
                <w:lang w:val="nl-NL"/>
              </w:rPr>
              <w:t>Constipatie</w:t>
            </w:r>
          </w:p>
          <w:p w:rsidR="00235226" w:rsidRPr="000D625A" w:rsidRDefault="00235226" w:rsidP="0089173D">
            <w:pPr>
              <w:spacing w:after="40" w:line="220" w:lineRule="exact"/>
              <w:rPr>
                <w:snapToGrid w:val="0"/>
                <w:lang w:val="nl-NL"/>
              </w:rPr>
            </w:pPr>
            <w:r w:rsidRPr="000D625A">
              <w:rPr>
                <w:snapToGrid w:val="0"/>
                <w:lang w:val="nl-NL"/>
              </w:rPr>
              <w:t>Buikklachten</w:t>
            </w:r>
          </w:p>
          <w:p w:rsidR="00235226" w:rsidRPr="000D625A" w:rsidRDefault="00235226" w:rsidP="0089173D">
            <w:pPr>
              <w:spacing w:after="40" w:line="220" w:lineRule="exact"/>
              <w:rPr>
                <w:snapToGrid w:val="0"/>
                <w:lang w:val="nl-NL"/>
              </w:rPr>
            </w:pPr>
          </w:p>
        </w:tc>
      </w:tr>
      <w:tr w:rsidR="00235226" w:rsidRPr="000D625A" w:rsidTr="0089173D">
        <w:trPr>
          <w:trHeight w:val="839"/>
        </w:trPr>
        <w:tc>
          <w:tcPr>
            <w:tcW w:w="1666"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Voortplantingsstelsel</w:t>
            </w:r>
            <w:r w:rsidR="00B41519" w:rsidRPr="000D625A">
              <w:rPr>
                <w:snapToGrid w:val="0"/>
                <w:lang w:val="nl-NL"/>
              </w:rPr>
              <w:noBreakHyphen/>
            </w:r>
            <w:r w:rsidRPr="000D625A">
              <w:rPr>
                <w:snapToGrid w:val="0"/>
                <w:lang w:val="nl-NL"/>
              </w:rPr>
              <w:t xml:space="preserve"> en borstaandoeningen</w:t>
            </w:r>
          </w:p>
        </w:tc>
        <w:tc>
          <w:tcPr>
            <w:tcW w:w="1410"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OHSS</w:t>
            </w:r>
          </w:p>
          <w:p w:rsidR="00235226" w:rsidRPr="000D625A" w:rsidRDefault="00235226" w:rsidP="0089173D">
            <w:pPr>
              <w:spacing w:after="40" w:line="220" w:lineRule="exact"/>
              <w:rPr>
                <w:snapToGrid w:val="0"/>
                <w:lang w:val="nl-NL"/>
              </w:rPr>
            </w:pPr>
            <w:r w:rsidRPr="000D625A">
              <w:rPr>
                <w:snapToGrid w:val="0"/>
                <w:lang w:val="nl-NL"/>
              </w:rPr>
              <w:t>Bekkenpijn</w:t>
            </w:r>
          </w:p>
          <w:p w:rsidR="00235226" w:rsidRPr="000D625A" w:rsidRDefault="00235226" w:rsidP="0089173D">
            <w:pPr>
              <w:spacing w:after="40" w:line="220" w:lineRule="exact"/>
              <w:rPr>
                <w:snapToGrid w:val="0"/>
                <w:lang w:val="nl-NL"/>
              </w:rPr>
            </w:pPr>
            <w:r w:rsidRPr="000D625A">
              <w:rPr>
                <w:snapToGrid w:val="0"/>
                <w:lang w:val="nl-NL"/>
              </w:rPr>
              <w:t>Pijn in de uterus en/of adnexen</w:t>
            </w:r>
          </w:p>
          <w:p w:rsidR="00235226" w:rsidRPr="000D625A" w:rsidRDefault="00235226" w:rsidP="0089173D">
            <w:pPr>
              <w:spacing w:after="40" w:line="220" w:lineRule="exact"/>
              <w:rPr>
                <w:snapToGrid w:val="0"/>
                <w:lang w:val="nl-NL"/>
              </w:rPr>
            </w:pPr>
            <w:r w:rsidRPr="000D625A">
              <w:rPr>
                <w:snapToGrid w:val="0"/>
                <w:lang w:val="nl-NL"/>
              </w:rPr>
              <w:t>Bekkenklachten</w:t>
            </w:r>
          </w:p>
        </w:tc>
        <w:tc>
          <w:tcPr>
            <w:tcW w:w="1924"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Vaginale bloedingen</w:t>
            </w:r>
          </w:p>
          <w:p w:rsidR="00235226" w:rsidRPr="000D625A" w:rsidRDefault="00235226" w:rsidP="0089173D">
            <w:pPr>
              <w:spacing w:after="40" w:line="220" w:lineRule="exact"/>
              <w:rPr>
                <w:snapToGrid w:val="0"/>
                <w:lang w:val="nl-NL"/>
              </w:rPr>
            </w:pPr>
            <w:r w:rsidRPr="000D625A">
              <w:rPr>
                <w:snapToGrid w:val="0"/>
                <w:lang w:val="nl-NL"/>
              </w:rPr>
              <w:t>Borstpijn</w:t>
            </w:r>
          </w:p>
          <w:p w:rsidR="00235226" w:rsidRPr="000D625A" w:rsidRDefault="00235226" w:rsidP="0089173D">
            <w:pPr>
              <w:spacing w:after="40" w:line="220" w:lineRule="exact"/>
              <w:rPr>
                <w:snapToGrid w:val="0"/>
                <w:lang w:val="nl-NL"/>
              </w:rPr>
            </w:pPr>
            <w:r w:rsidRPr="000D625A">
              <w:rPr>
                <w:snapToGrid w:val="0"/>
                <w:lang w:val="nl-NL"/>
              </w:rPr>
              <w:t>Gevoelige borsten</w:t>
            </w:r>
          </w:p>
          <w:p w:rsidR="00235226" w:rsidRPr="000D625A" w:rsidRDefault="00235226" w:rsidP="0089173D">
            <w:pPr>
              <w:spacing w:after="40" w:line="220" w:lineRule="exact"/>
              <w:rPr>
                <w:snapToGrid w:val="0"/>
                <w:lang w:val="nl-NL"/>
              </w:rPr>
            </w:pPr>
          </w:p>
        </w:tc>
      </w:tr>
      <w:tr w:rsidR="00235226" w:rsidRPr="000D625A" w:rsidTr="0089173D">
        <w:trPr>
          <w:trHeight w:val="566"/>
        </w:trPr>
        <w:tc>
          <w:tcPr>
            <w:tcW w:w="1666"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 xml:space="preserve">Algemene aandoeningen en </w:t>
            </w:r>
            <w:r w:rsidR="00404396" w:rsidRPr="005141B3">
              <w:rPr>
                <w:snapToGrid w:val="0"/>
                <w:lang w:val="nl-NL"/>
              </w:rPr>
              <w:t>toedieningsplaatsstoornissen</w:t>
            </w:r>
          </w:p>
        </w:tc>
        <w:tc>
          <w:tcPr>
            <w:tcW w:w="1410" w:type="pct"/>
            <w:shd w:val="clear" w:color="auto" w:fill="auto"/>
          </w:tcPr>
          <w:p w:rsidR="00235226" w:rsidRPr="000D625A" w:rsidRDefault="00235226" w:rsidP="0089173D">
            <w:pPr>
              <w:spacing w:after="40" w:line="220" w:lineRule="exact"/>
              <w:rPr>
                <w:snapToGrid w:val="0"/>
                <w:lang w:val="nl-NL"/>
              </w:rPr>
            </w:pPr>
            <w:r w:rsidRPr="000D625A">
              <w:rPr>
                <w:snapToGrid w:val="0"/>
                <w:lang w:val="nl-NL"/>
              </w:rPr>
              <w:t>Vermoeidheid</w:t>
            </w:r>
          </w:p>
        </w:tc>
        <w:tc>
          <w:tcPr>
            <w:tcW w:w="1924" w:type="pct"/>
            <w:shd w:val="clear" w:color="auto" w:fill="auto"/>
          </w:tcPr>
          <w:p w:rsidR="00235226" w:rsidRPr="000D625A" w:rsidRDefault="00235226" w:rsidP="0089173D">
            <w:pPr>
              <w:spacing w:after="40" w:line="220" w:lineRule="exact"/>
              <w:rPr>
                <w:snapToGrid w:val="0"/>
                <w:lang w:val="nl-NL"/>
              </w:rPr>
            </w:pPr>
          </w:p>
        </w:tc>
      </w:tr>
    </w:tbl>
    <w:p w:rsidR="00235226" w:rsidRPr="000D625A" w:rsidRDefault="00235226" w:rsidP="00235226">
      <w:pPr>
        <w:rPr>
          <w:rFonts w:eastAsia="Calibri"/>
          <w:lang w:val="nl-NL"/>
        </w:rPr>
      </w:pPr>
    </w:p>
    <w:p w:rsidR="00586279" w:rsidRPr="000D625A" w:rsidRDefault="00586279" w:rsidP="006008DC">
      <w:pPr>
        <w:keepLines/>
        <w:rPr>
          <w:rFonts w:eastAsia="Calibri"/>
          <w:u w:val="single"/>
          <w:lang w:val="nl-NL"/>
        </w:rPr>
      </w:pPr>
      <w:r w:rsidRPr="000D625A">
        <w:rPr>
          <w:rFonts w:eastAsia="Calibri"/>
          <w:u w:val="single"/>
          <w:lang w:val="nl-NL"/>
        </w:rPr>
        <w:t>Beschrijving van geselecteerde bijwerkingen</w:t>
      </w:r>
    </w:p>
    <w:p w:rsidR="00235226" w:rsidRPr="000D625A" w:rsidRDefault="00235226" w:rsidP="006008DC">
      <w:pPr>
        <w:keepLines/>
        <w:rPr>
          <w:rFonts w:eastAsia="Calibri"/>
          <w:szCs w:val="22"/>
          <w:lang w:val="nl-NL"/>
        </w:rPr>
      </w:pPr>
      <w:r w:rsidRPr="000D625A">
        <w:rPr>
          <w:rFonts w:eastAsia="Calibri"/>
          <w:szCs w:val="22"/>
          <w:lang w:val="nl-NL"/>
        </w:rPr>
        <w:t>OHSS is een intrinsiek risico bij ovariumstimulatie. Bekende gastro</w:t>
      </w:r>
      <w:r w:rsidR="00B41519" w:rsidRPr="000D625A">
        <w:rPr>
          <w:rFonts w:eastAsia="Calibri"/>
          <w:szCs w:val="22"/>
          <w:lang w:val="nl-NL"/>
        </w:rPr>
        <w:noBreakHyphen/>
      </w:r>
      <w:r w:rsidRPr="000D625A">
        <w:rPr>
          <w:rFonts w:eastAsia="Calibri"/>
          <w:szCs w:val="22"/>
          <w:lang w:val="nl-NL"/>
        </w:rPr>
        <w:t>intestinale symptomen die met OHSS in verband worden gebracht</w:t>
      </w:r>
      <w:r w:rsidR="004465F0">
        <w:rPr>
          <w:rFonts w:eastAsia="Calibri"/>
          <w:szCs w:val="22"/>
          <w:lang w:val="nl-NL"/>
        </w:rPr>
        <w:t>,</w:t>
      </w:r>
      <w:r w:rsidRPr="000D625A">
        <w:rPr>
          <w:rFonts w:eastAsia="Calibri"/>
          <w:szCs w:val="22"/>
          <w:lang w:val="nl-NL"/>
        </w:rPr>
        <w:t xml:space="preserve"> zijn buikpijn, buikklachten en een opgezette buik, misselijkheid, braken en diarree. Ovariumtorsie en trombo</w:t>
      </w:r>
      <w:r w:rsidR="00B41519" w:rsidRPr="000D625A">
        <w:rPr>
          <w:rFonts w:eastAsia="Calibri"/>
          <w:szCs w:val="22"/>
          <w:lang w:val="nl-NL"/>
        </w:rPr>
        <w:noBreakHyphen/>
      </w:r>
      <w:r w:rsidRPr="000D625A">
        <w:rPr>
          <w:rFonts w:eastAsia="Calibri"/>
          <w:szCs w:val="22"/>
          <w:lang w:val="nl-NL"/>
        </w:rPr>
        <w:t>embolische voorvallen zijn bekend als zeldzame complicaties van ovariumstimulatiebehandeling (zie rubriek</w:t>
      </w:r>
      <w:r w:rsidR="00B90604" w:rsidRPr="000D625A">
        <w:rPr>
          <w:rFonts w:eastAsia="Calibri"/>
          <w:szCs w:val="22"/>
          <w:lang w:val="nl-NL"/>
        </w:rPr>
        <w:t> </w:t>
      </w:r>
      <w:r w:rsidRPr="000D625A">
        <w:rPr>
          <w:rFonts w:eastAsia="Calibri"/>
          <w:szCs w:val="22"/>
          <w:lang w:val="nl-NL"/>
        </w:rPr>
        <w:t xml:space="preserve">4.4). </w:t>
      </w:r>
    </w:p>
    <w:p w:rsidR="00B90604" w:rsidRPr="000D625A" w:rsidRDefault="00B90604" w:rsidP="006008DC">
      <w:pPr>
        <w:keepLines/>
        <w:rPr>
          <w:rFonts w:eastAsia="Calibri"/>
          <w:szCs w:val="22"/>
          <w:lang w:val="nl-NL"/>
        </w:rPr>
      </w:pPr>
    </w:p>
    <w:p w:rsidR="00B90604" w:rsidRPr="007D307D" w:rsidRDefault="00B90604" w:rsidP="006008DC">
      <w:pPr>
        <w:keepLines/>
        <w:rPr>
          <w:rFonts w:eastAsia="Calibri"/>
          <w:lang w:val="nl-NL"/>
        </w:rPr>
      </w:pPr>
      <w:r w:rsidRPr="000D625A">
        <w:rPr>
          <w:rFonts w:eastAsia="Calibri"/>
          <w:szCs w:val="22"/>
          <w:lang w:val="nl-NL"/>
        </w:rPr>
        <w:t xml:space="preserve">Immunogeniciteit </w:t>
      </w:r>
      <w:r w:rsidR="00E25785">
        <w:rPr>
          <w:rFonts w:eastAsia="Calibri"/>
          <w:szCs w:val="22"/>
          <w:lang w:val="nl-NL"/>
        </w:rPr>
        <w:t>die verband houdt met</w:t>
      </w:r>
      <w:r w:rsidRPr="000D625A">
        <w:rPr>
          <w:rFonts w:eastAsia="Calibri"/>
          <w:szCs w:val="22"/>
          <w:lang w:val="nl-NL"/>
        </w:rPr>
        <w:t xml:space="preserve"> de ontwikkeling van anti</w:t>
      </w:r>
      <w:r w:rsidRPr="000D625A">
        <w:rPr>
          <w:rFonts w:eastAsia="Calibri"/>
          <w:szCs w:val="22"/>
          <w:lang w:val="nl-NL"/>
        </w:rPr>
        <w:noBreakHyphen/>
        <w:t>FSH</w:t>
      </w:r>
      <w:r w:rsidRPr="000D625A">
        <w:rPr>
          <w:rFonts w:eastAsia="Calibri"/>
          <w:szCs w:val="22"/>
          <w:lang w:val="nl-NL"/>
        </w:rPr>
        <w:noBreakHyphen/>
        <w:t>anti</w:t>
      </w:r>
      <w:r w:rsidR="0085730C" w:rsidRPr="000D625A">
        <w:rPr>
          <w:rFonts w:eastAsia="Calibri"/>
          <w:szCs w:val="22"/>
          <w:lang w:val="nl-NL"/>
        </w:rPr>
        <w:t>stoffen</w:t>
      </w:r>
      <w:r w:rsidRPr="000D625A">
        <w:rPr>
          <w:rFonts w:eastAsia="Calibri"/>
          <w:szCs w:val="22"/>
          <w:lang w:val="nl-NL"/>
        </w:rPr>
        <w:t xml:space="preserve"> is een mogelijk risico van de behandeling met gonadotrofine (zie rubriek</w:t>
      </w:r>
      <w:r w:rsidRPr="000D625A">
        <w:rPr>
          <w:rFonts w:eastAsia="Calibri"/>
          <w:lang w:val="nl-NL"/>
        </w:rPr>
        <w:t> 5.1).</w:t>
      </w:r>
    </w:p>
    <w:p w:rsidR="00033D26" w:rsidRPr="000D625A" w:rsidRDefault="00033D26" w:rsidP="00204AAB">
      <w:pPr>
        <w:autoSpaceDE w:val="0"/>
        <w:autoSpaceDN w:val="0"/>
        <w:adjustRightInd w:val="0"/>
        <w:spacing w:line="240" w:lineRule="auto"/>
        <w:jc w:val="both"/>
        <w:rPr>
          <w:b/>
          <w:i/>
          <w:szCs w:val="22"/>
          <w:lang w:val="nl-NL"/>
        </w:rPr>
      </w:pPr>
    </w:p>
    <w:p w:rsidR="00033D26" w:rsidRPr="000D625A" w:rsidRDefault="00404396" w:rsidP="007958FB">
      <w:pPr>
        <w:keepLines/>
        <w:autoSpaceDE w:val="0"/>
        <w:autoSpaceDN w:val="0"/>
        <w:adjustRightInd w:val="0"/>
        <w:spacing w:line="240" w:lineRule="auto"/>
        <w:rPr>
          <w:szCs w:val="22"/>
          <w:u w:val="single"/>
          <w:lang w:val="nl-NL"/>
        </w:rPr>
      </w:pPr>
      <w:r>
        <w:rPr>
          <w:szCs w:val="22"/>
          <w:u w:val="single"/>
          <w:lang w:val="nl-NL"/>
        </w:rPr>
        <w:t>Melding</w:t>
      </w:r>
      <w:r w:rsidRPr="000D625A">
        <w:rPr>
          <w:szCs w:val="22"/>
          <w:u w:val="single"/>
          <w:lang w:val="nl-NL"/>
        </w:rPr>
        <w:t xml:space="preserve"> </w:t>
      </w:r>
      <w:r w:rsidR="00033D26" w:rsidRPr="000D625A">
        <w:rPr>
          <w:szCs w:val="22"/>
          <w:u w:val="single"/>
          <w:lang w:val="nl-NL"/>
        </w:rPr>
        <w:t>van vermoede</w:t>
      </w:r>
      <w:r>
        <w:rPr>
          <w:szCs w:val="22"/>
          <w:u w:val="single"/>
          <w:lang w:val="nl-NL"/>
        </w:rPr>
        <w:t>lijke</w:t>
      </w:r>
      <w:r w:rsidR="00033D26" w:rsidRPr="000D625A">
        <w:rPr>
          <w:szCs w:val="22"/>
          <w:u w:val="single"/>
          <w:lang w:val="nl-NL"/>
        </w:rPr>
        <w:t xml:space="preserve"> bijwerkingen</w:t>
      </w:r>
    </w:p>
    <w:p w:rsidR="00DA2A02" w:rsidRPr="007A35CC" w:rsidRDefault="00033D26" w:rsidP="007958FB">
      <w:pPr>
        <w:keepLines/>
        <w:rPr>
          <w:szCs w:val="22"/>
          <w:lang w:val="nl-NL"/>
        </w:rPr>
      </w:pPr>
      <w:r w:rsidRPr="000D625A">
        <w:rPr>
          <w:szCs w:val="22"/>
          <w:lang w:val="nl-NL"/>
        </w:rPr>
        <w:lastRenderedPageBreak/>
        <w:t xml:space="preserve">Het is belangrijk om na toelating van het geneesmiddel vermoedelijke bijwerkingen te melden. Op deze wijze kan de verhouding tussen voordelen en risico’s van het geneesmiddel voortdurend worden </w:t>
      </w:r>
      <w:r w:rsidRPr="008C6053">
        <w:rPr>
          <w:szCs w:val="22"/>
          <w:lang w:val="nl-NL"/>
        </w:rPr>
        <w:t xml:space="preserve">gevolgd. Beroepsbeoefenaren in de gezondheidszorg </w:t>
      </w:r>
      <w:r w:rsidR="00545B00">
        <w:rPr>
          <w:szCs w:val="22"/>
          <w:lang w:val="nl-NL"/>
        </w:rPr>
        <w:t>wordt</w:t>
      </w:r>
      <w:r w:rsidRPr="008C6053">
        <w:rPr>
          <w:szCs w:val="22"/>
          <w:lang w:val="nl-NL"/>
        </w:rPr>
        <w:t xml:space="preserve"> verzocht alle vermoedelijke</w:t>
      </w:r>
      <w:r w:rsidRPr="000D625A">
        <w:rPr>
          <w:szCs w:val="22"/>
          <w:lang w:val="nl-NL"/>
        </w:rPr>
        <w:t xml:space="preserve"> bijwerkingen te melden via </w:t>
      </w:r>
      <w:r w:rsidR="00DA2A02" w:rsidRPr="00460320">
        <w:rPr>
          <w:szCs w:val="22"/>
          <w:highlight w:val="lightGray"/>
          <w:lang w:val="nl-NL"/>
        </w:rPr>
        <w:t xml:space="preserve">het nationale meldsysteem zoals vermeld </w:t>
      </w:r>
      <w:r w:rsidR="00DA2A02" w:rsidRPr="00DA2A02">
        <w:rPr>
          <w:szCs w:val="22"/>
          <w:highlight w:val="lightGray"/>
          <w:lang w:val="nl-NL"/>
        </w:rPr>
        <w:t xml:space="preserve">in </w:t>
      </w:r>
      <w:hyperlink r:id="rId9" w:history="1">
        <w:r w:rsidR="00DA2A02" w:rsidRPr="00DA2A02">
          <w:rPr>
            <w:rStyle w:val="Hyperlink"/>
            <w:highlight w:val="lightGray"/>
            <w:lang w:val="nl-NL"/>
          </w:rPr>
          <w:t>aanhangsel V</w:t>
        </w:r>
      </w:hyperlink>
      <w:r w:rsidR="00DA2A02" w:rsidRPr="00DA2A02">
        <w:rPr>
          <w:rStyle w:val="Hyperlink"/>
          <w:lang w:val="nl-NL"/>
        </w:rPr>
        <w:t>.</w:t>
      </w:r>
    </w:p>
    <w:p w:rsidR="008D35AD" w:rsidRPr="000D625A" w:rsidRDefault="008D35AD" w:rsidP="00204AAB">
      <w:pPr>
        <w:spacing w:line="240" w:lineRule="auto"/>
        <w:rPr>
          <w:szCs w:val="22"/>
          <w:lang w:val="nl-NL"/>
        </w:rPr>
      </w:pPr>
    </w:p>
    <w:p w:rsidR="00812D16" w:rsidRPr="000D625A" w:rsidRDefault="00812D16" w:rsidP="006008DC">
      <w:pPr>
        <w:keepLines/>
        <w:spacing w:line="240" w:lineRule="auto"/>
        <w:ind w:left="567" w:hanging="567"/>
        <w:outlineLvl w:val="0"/>
        <w:rPr>
          <w:szCs w:val="22"/>
          <w:lang w:val="nl-NL"/>
        </w:rPr>
      </w:pPr>
      <w:r w:rsidRPr="000D625A">
        <w:rPr>
          <w:b/>
          <w:bCs/>
          <w:szCs w:val="22"/>
          <w:lang w:val="nl-NL"/>
        </w:rPr>
        <w:t>4.9</w:t>
      </w:r>
      <w:r w:rsidRPr="000D625A">
        <w:rPr>
          <w:b/>
          <w:bCs/>
          <w:szCs w:val="22"/>
          <w:lang w:val="nl-NL"/>
        </w:rPr>
        <w:tab/>
        <w:t>Overdosering</w:t>
      </w:r>
    </w:p>
    <w:p w:rsidR="00812D16" w:rsidRPr="000D625A" w:rsidRDefault="00812D16" w:rsidP="006008DC">
      <w:pPr>
        <w:keepLines/>
        <w:spacing w:line="240" w:lineRule="auto"/>
        <w:rPr>
          <w:szCs w:val="22"/>
          <w:lang w:val="nl-NL"/>
        </w:rPr>
      </w:pPr>
    </w:p>
    <w:p w:rsidR="00812D16" w:rsidRPr="000D625A" w:rsidRDefault="004465F0" w:rsidP="006008DC">
      <w:pPr>
        <w:keepLines/>
        <w:spacing w:line="240" w:lineRule="auto"/>
        <w:rPr>
          <w:i/>
          <w:szCs w:val="22"/>
          <w:lang w:val="nl-NL"/>
        </w:rPr>
      </w:pPr>
      <w:r>
        <w:rPr>
          <w:szCs w:val="22"/>
          <w:lang w:val="nl-NL"/>
        </w:rPr>
        <w:t xml:space="preserve">Het </w:t>
      </w:r>
      <w:r w:rsidR="00235226" w:rsidRPr="000D625A">
        <w:rPr>
          <w:szCs w:val="22"/>
          <w:lang w:val="nl-NL"/>
        </w:rPr>
        <w:t xml:space="preserve">effect van een overdosis </w:t>
      </w:r>
      <w:r>
        <w:rPr>
          <w:szCs w:val="22"/>
          <w:lang w:val="nl-NL"/>
        </w:rPr>
        <w:t>is</w:t>
      </w:r>
      <w:r w:rsidR="00235226" w:rsidRPr="000D625A">
        <w:rPr>
          <w:szCs w:val="22"/>
          <w:lang w:val="nl-NL"/>
        </w:rPr>
        <w:t xml:space="preserve"> niet bekend</w:t>
      </w:r>
      <w:r>
        <w:rPr>
          <w:szCs w:val="22"/>
          <w:lang w:val="nl-NL"/>
        </w:rPr>
        <w:t xml:space="preserve">. Toch </w:t>
      </w:r>
      <w:r w:rsidR="00235226" w:rsidRPr="000D625A">
        <w:rPr>
          <w:szCs w:val="22"/>
          <w:lang w:val="nl-NL"/>
        </w:rPr>
        <w:t>bestaat het risico dat OHSS optreedt (zie rubriek</w:t>
      </w:r>
      <w:r w:rsidR="00B90604" w:rsidRPr="000D625A">
        <w:rPr>
          <w:szCs w:val="22"/>
          <w:lang w:val="nl-NL"/>
        </w:rPr>
        <w:t> </w:t>
      </w:r>
      <w:r w:rsidR="00235226" w:rsidRPr="000D625A">
        <w:rPr>
          <w:szCs w:val="22"/>
          <w:lang w:val="nl-NL"/>
        </w:rPr>
        <w:t>4.4).</w:t>
      </w:r>
    </w:p>
    <w:p w:rsidR="00812D16" w:rsidRPr="000D625A" w:rsidRDefault="00812D16" w:rsidP="00204AAB">
      <w:pPr>
        <w:spacing w:line="240" w:lineRule="auto"/>
        <w:rPr>
          <w:szCs w:val="22"/>
          <w:lang w:val="nl-NL"/>
        </w:rPr>
      </w:pPr>
    </w:p>
    <w:p w:rsidR="00B90604" w:rsidRPr="000D625A" w:rsidRDefault="00B90604" w:rsidP="00204AAB">
      <w:pPr>
        <w:spacing w:line="240" w:lineRule="auto"/>
        <w:rPr>
          <w:szCs w:val="22"/>
          <w:lang w:val="nl-NL"/>
        </w:rPr>
      </w:pPr>
    </w:p>
    <w:p w:rsidR="00812D16" w:rsidRPr="000D625A" w:rsidRDefault="00812D16" w:rsidP="00DA2A02">
      <w:pPr>
        <w:keepNext/>
        <w:suppressAutoHyphens/>
        <w:spacing w:line="240" w:lineRule="auto"/>
        <w:ind w:left="567" w:hanging="567"/>
        <w:rPr>
          <w:lang w:val="nl-NL"/>
        </w:rPr>
      </w:pPr>
      <w:r w:rsidRPr="000D625A">
        <w:rPr>
          <w:b/>
          <w:bCs/>
          <w:lang w:val="nl-NL"/>
        </w:rPr>
        <w:t>5</w:t>
      </w:r>
      <w:r w:rsidRPr="00A7195A">
        <w:rPr>
          <w:b/>
          <w:lang w:val="nl-NL"/>
        </w:rPr>
        <w:t>.</w:t>
      </w:r>
      <w:r w:rsidRPr="00A7195A">
        <w:rPr>
          <w:b/>
          <w:lang w:val="nl-NL"/>
        </w:rPr>
        <w:tab/>
        <w:t>FARMACOLOGISCHE EIGENSCHAPPEN</w:t>
      </w:r>
    </w:p>
    <w:p w:rsidR="00812D16" w:rsidRPr="000D625A" w:rsidRDefault="00812D16" w:rsidP="00204AAB">
      <w:pPr>
        <w:spacing w:line="240" w:lineRule="auto"/>
        <w:rPr>
          <w:lang w:val="nl-NL"/>
        </w:rPr>
      </w:pPr>
    </w:p>
    <w:p w:rsidR="00812D16" w:rsidRPr="000D625A" w:rsidRDefault="00812D16" w:rsidP="00DA2A02">
      <w:pPr>
        <w:keepNext/>
        <w:suppressAutoHyphens/>
        <w:spacing w:line="240" w:lineRule="auto"/>
        <w:ind w:left="567" w:hanging="567"/>
        <w:rPr>
          <w:lang w:val="nl-NL"/>
        </w:rPr>
      </w:pPr>
      <w:r w:rsidRPr="000D625A">
        <w:rPr>
          <w:b/>
          <w:bCs/>
          <w:lang w:val="nl-NL"/>
        </w:rPr>
        <w:t>5.1</w:t>
      </w:r>
      <w:r w:rsidRPr="000D625A">
        <w:rPr>
          <w:b/>
          <w:bCs/>
          <w:lang w:val="nl-NL"/>
        </w:rPr>
        <w:tab/>
        <w:t>Farmacodynamische eigenschappen</w:t>
      </w:r>
    </w:p>
    <w:p w:rsidR="00812D16" w:rsidRPr="000D625A" w:rsidRDefault="00812D16" w:rsidP="00204AAB">
      <w:pPr>
        <w:spacing w:line="240" w:lineRule="auto"/>
        <w:rPr>
          <w:lang w:val="nl-NL"/>
        </w:rPr>
      </w:pPr>
    </w:p>
    <w:p w:rsidR="00A06FAD" w:rsidRPr="000D625A" w:rsidRDefault="00A06FAD" w:rsidP="00A06FAD">
      <w:pPr>
        <w:rPr>
          <w:szCs w:val="22"/>
          <w:lang w:val="nl-NL"/>
        </w:rPr>
      </w:pPr>
      <w:r w:rsidRPr="000D625A">
        <w:rPr>
          <w:szCs w:val="22"/>
          <w:lang w:val="nl-NL"/>
        </w:rPr>
        <w:t>Farmacotherapeutische categorie: geslachtshormonen en modulatoren van het genitale stelsel, gonadotrofinen, ATC</w:t>
      </w:r>
      <w:r w:rsidR="00B90604" w:rsidRPr="000D625A">
        <w:rPr>
          <w:szCs w:val="22"/>
          <w:lang w:val="nl-NL"/>
        </w:rPr>
        <w:noBreakHyphen/>
      </w:r>
      <w:r w:rsidRPr="000D625A">
        <w:rPr>
          <w:szCs w:val="22"/>
          <w:lang w:val="nl-NL"/>
        </w:rPr>
        <w:t>code: G03GA10</w:t>
      </w:r>
    </w:p>
    <w:p w:rsidR="00812D16" w:rsidRPr="000D625A" w:rsidRDefault="00812D16" w:rsidP="00204AAB">
      <w:pPr>
        <w:spacing w:line="240" w:lineRule="auto"/>
        <w:rPr>
          <w:szCs w:val="22"/>
          <w:lang w:val="nl-NL"/>
        </w:rPr>
      </w:pPr>
    </w:p>
    <w:p w:rsidR="00A06FAD" w:rsidRPr="000D625A" w:rsidRDefault="00A06FAD" w:rsidP="0072565A">
      <w:pPr>
        <w:keepNext/>
        <w:rPr>
          <w:szCs w:val="22"/>
          <w:u w:val="single"/>
          <w:lang w:val="nl-NL"/>
        </w:rPr>
      </w:pPr>
      <w:r w:rsidRPr="000D625A">
        <w:rPr>
          <w:szCs w:val="22"/>
          <w:u w:val="single"/>
          <w:lang w:val="nl-NL"/>
        </w:rPr>
        <w:t>Werkingsmechanisme</w:t>
      </w:r>
    </w:p>
    <w:p w:rsidR="00A06FAD" w:rsidRPr="000D625A" w:rsidRDefault="00A06FAD" w:rsidP="006008DC">
      <w:pPr>
        <w:keepLines/>
        <w:rPr>
          <w:szCs w:val="22"/>
          <w:lang w:val="nl-NL"/>
        </w:rPr>
      </w:pPr>
      <w:r w:rsidRPr="000D625A">
        <w:rPr>
          <w:szCs w:val="22"/>
          <w:lang w:val="nl-NL"/>
        </w:rPr>
        <w:t>Het belangrijkste effect van parenterale toediening van FSH is de ontwikkeling van meerdere rijpe follikels.</w:t>
      </w:r>
    </w:p>
    <w:p w:rsidR="00026CCA" w:rsidRPr="000D625A" w:rsidRDefault="00026CCA" w:rsidP="00A06FAD">
      <w:pPr>
        <w:rPr>
          <w:szCs w:val="22"/>
          <w:lang w:val="nl-NL"/>
        </w:rPr>
      </w:pPr>
    </w:p>
    <w:p w:rsidR="00A06FAD" w:rsidRPr="006A6372" w:rsidRDefault="00DC7ECC" w:rsidP="00A06FAD">
      <w:pPr>
        <w:rPr>
          <w:szCs w:val="22"/>
          <w:lang w:val="nl-NL"/>
        </w:rPr>
      </w:pPr>
      <w:r w:rsidRPr="000D625A">
        <w:rPr>
          <w:szCs w:val="22"/>
          <w:lang w:val="nl-NL"/>
        </w:rPr>
        <w:t>Follitropine</w:t>
      </w:r>
      <w:r w:rsidR="006615B4">
        <w:rPr>
          <w:szCs w:val="22"/>
          <w:lang w:val="nl-NL"/>
        </w:rPr>
        <w:t>-</w:t>
      </w:r>
      <w:r w:rsidRPr="000D625A">
        <w:rPr>
          <w:szCs w:val="22"/>
          <w:lang w:val="nl-NL"/>
        </w:rPr>
        <w:t>delta is een recombinant humaan FSH. De aminozuurvolgorde van de twee FSH</w:t>
      </w:r>
      <w:r w:rsidR="00B41519" w:rsidRPr="000D625A">
        <w:rPr>
          <w:szCs w:val="22"/>
          <w:lang w:val="nl-NL"/>
        </w:rPr>
        <w:noBreakHyphen/>
      </w:r>
      <w:r w:rsidRPr="000D625A">
        <w:rPr>
          <w:szCs w:val="22"/>
          <w:lang w:val="nl-NL"/>
        </w:rPr>
        <w:t>subeenheden in follitropine</w:t>
      </w:r>
      <w:r w:rsidR="006615B4">
        <w:rPr>
          <w:szCs w:val="22"/>
          <w:lang w:val="nl-NL"/>
        </w:rPr>
        <w:t>-</w:t>
      </w:r>
      <w:r w:rsidRPr="000D625A">
        <w:rPr>
          <w:szCs w:val="22"/>
          <w:lang w:val="nl-NL"/>
        </w:rPr>
        <w:t xml:space="preserve">delta is identiek aan die van endogeen humaan FSH. </w:t>
      </w:r>
      <w:r w:rsidR="006A6372" w:rsidRPr="006A6372">
        <w:rPr>
          <w:szCs w:val="22"/>
          <w:lang w:val="nl-NL"/>
        </w:rPr>
        <w:t>Aangezien follitropine</w:t>
      </w:r>
      <w:r w:rsidR="006615B4">
        <w:rPr>
          <w:szCs w:val="22"/>
          <w:lang w:val="nl-NL"/>
        </w:rPr>
        <w:t>-</w:t>
      </w:r>
      <w:r w:rsidR="006A6372" w:rsidRPr="006A6372">
        <w:rPr>
          <w:szCs w:val="22"/>
          <w:lang w:val="nl-NL"/>
        </w:rPr>
        <w:t xml:space="preserve">delta geproduceerd wordt in een </w:t>
      </w:r>
      <w:r w:rsidR="006A6372">
        <w:rPr>
          <w:szCs w:val="22"/>
          <w:lang w:val="nl-NL"/>
        </w:rPr>
        <w:t>menselijke</w:t>
      </w:r>
      <w:r w:rsidR="006A6372" w:rsidRPr="006A6372">
        <w:rPr>
          <w:szCs w:val="22"/>
          <w:lang w:val="nl-NL"/>
        </w:rPr>
        <w:t xml:space="preserve"> cellijn PER.C6, </w:t>
      </w:r>
      <w:r w:rsidR="008A3B5B">
        <w:rPr>
          <w:szCs w:val="22"/>
          <w:lang w:val="nl-NL"/>
        </w:rPr>
        <w:t xml:space="preserve">heeft </w:t>
      </w:r>
      <w:r w:rsidR="006A6372" w:rsidRPr="006A6372">
        <w:rPr>
          <w:szCs w:val="22"/>
          <w:lang w:val="nl-NL"/>
        </w:rPr>
        <w:t xml:space="preserve">het </w:t>
      </w:r>
      <w:r w:rsidR="008A3B5B">
        <w:rPr>
          <w:szCs w:val="22"/>
          <w:lang w:val="nl-NL"/>
        </w:rPr>
        <w:t xml:space="preserve">een ander </w:t>
      </w:r>
      <w:r w:rsidR="006A6372" w:rsidRPr="006A6372">
        <w:rPr>
          <w:szCs w:val="22"/>
          <w:lang w:val="nl-NL"/>
        </w:rPr>
        <w:t>glycos</w:t>
      </w:r>
      <w:r w:rsidR="006A6372">
        <w:rPr>
          <w:szCs w:val="22"/>
          <w:lang w:val="nl-NL"/>
        </w:rPr>
        <w:t>ylering</w:t>
      </w:r>
      <w:r w:rsidR="004465F0">
        <w:rPr>
          <w:szCs w:val="22"/>
          <w:lang w:val="nl-NL"/>
        </w:rPr>
        <w:t>s</w:t>
      </w:r>
      <w:r w:rsidR="006A6372" w:rsidRPr="006A6372">
        <w:rPr>
          <w:szCs w:val="22"/>
          <w:lang w:val="nl-NL"/>
        </w:rPr>
        <w:t xml:space="preserve">profiel </w:t>
      </w:r>
      <w:r w:rsidR="008A3B5B">
        <w:rPr>
          <w:szCs w:val="22"/>
          <w:lang w:val="nl-NL"/>
        </w:rPr>
        <w:t xml:space="preserve">dan </w:t>
      </w:r>
      <w:r w:rsidR="006A6372">
        <w:rPr>
          <w:szCs w:val="22"/>
          <w:lang w:val="nl-NL"/>
        </w:rPr>
        <w:t>follitropine</w:t>
      </w:r>
      <w:r w:rsidR="006615B4">
        <w:rPr>
          <w:szCs w:val="22"/>
          <w:lang w:val="nl-NL"/>
        </w:rPr>
        <w:t>-</w:t>
      </w:r>
      <w:r w:rsidR="006A6372">
        <w:rPr>
          <w:szCs w:val="22"/>
          <w:lang w:val="nl-NL"/>
        </w:rPr>
        <w:t>alfa en follitropine</w:t>
      </w:r>
      <w:r w:rsidR="006615B4">
        <w:rPr>
          <w:szCs w:val="22"/>
          <w:lang w:val="nl-NL"/>
        </w:rPr>
        <w:t>-</w:t>
      </w:r>
      <w:r w:rsidR="006A6372">
        <w:rPr>
          <w:szCs w:val="22"/>
          <w:lang w:val="nl-NL"/>
        </w:rPr>
        <w:t>b</w:t>
      </w:r>
      <w:r w:rsidR="004465F0">
        <w:rPr>
          <w:szCs w:val="22"/>
          <w:lang w:val="nl-NL"/>
        </w:rPr>
        <w:t>è</w:t>
      </w:r>
      <w:r w:rsidR="006A6372">
        <w:rPr>
          <w:szCs w:val="22"/>
          <w:lang w:val="nl-NL"/>
        </w:rPr>
        <w:t>ta</w:t>
      </w:r>
      <w:r w:rsidR="006A6372" w:rsidRPr="006A6372">
        <w:rPr>
          <w:szCs w:val="22"/>
          <w:lang w:val="nl-NL"/>
        </w:rPr>
        <w:t>.</w:t>
      </w:r>
    </w:p>
    <w:p w:rsidR="00A06FAD" w:rsidRPr="006A6372" w:rsidRDefault="00A06FAD" w:rsidP="00A06FAD">
      <w:pPr>
        <w:rPr>
          <w:szCs w:val="22"/>
          <w:lang w:val="nl-NL"/>
        </w:rPr>
      </w:pPr>
    </w:p>
    <w:p w:rsidR="00A06FAD" w:rsidRPr="000D625A" w:rsidRDefault="00A06FAD" w:rsidP="006008DC">
      <w:pPr>
        <w:keepLines/>
        <w:rPr>
          <w:szCs w:val="22"/>
          <w:u w:val="single"/>
          <w:lang w:val="nl-NL"/>
        </w:rPr>
      </w:pPr>
      <w:r w:rsidRPr="000D625A">
        <w:rPr>
          <w:szCs w:val="22"/>
          <w:u w:val="single"/>
          <w:lang w:val="nl-NL"/>
        </w:rPr>
        <w:t>Farmacodynamische effecten</w:t>
      </w:r>
    </w:p>
    <w:p w:rsidR="00A06FAD" w:rsidRPr="000D625A" w:rsidRDefault="00A06FAD" w:rsidP="006008DC">
      <w:pPr>
        <w:keepLines/>
        <w:rPr>
          <w:szCs w:val="22"/>
          <w:lang w:val="nl-NL"/>
        </w:rPr>
      </w:pPr>
      <w:r w:rsidRPr="000D625A">
        <w:rPr>
          <w:lang w:val="nl-NL"/>
        </w:rPr>
        <w:t>Na dagelijkse toediening van gelijke IE</w:t>
      </w:r>
      <w:r w:rsidR="00B41519" w:rsidRPr="000D625A">
        <w:rPr>
          <w:lang w:val="nl-NL"/>
        </w:rPr>
        <w:noBreakHyphen/>
      </w:r>
      <w:r w:rsidRPr="000D625A">
        <w:rPr>
          <w:lang w:val="nl-NL"/>
        </w:rPr>
        <w:t>doses REKOVELLE en follitropine</w:t>
      </w:r>
      <w:r w:rsidR="006615B4">
        <w:rPr>
          <w:szCs w:val="22"/>
          <w:lang w:val="nl-NL"/>
        </w:rPr>
        <w:t>-</w:t>
      </w:r>
      <w:r w:rsidRPr="000D625A">
        <w:rPr>
          <w:lang w:val="nl-NL"/>
        </w:rPr>
        <w:t xml:space="preserve">alfa, zoals bepaald in de </w:t>
      </w:r>
      <w:r w:rsidRPr="00DA2A02">
        <w:rPr>
          <w:i/>
          <w:lang w:val="nl-NL"/>
        </w:rPr>
        <w:t>in</w:t>
      </w:r>
      <w:r w:rsidR="00BA1D5C">
        <w:rPr>
          <w:i/>
          <w:lang w:val="nl-NL"/>
        </w:rPr>
        <w:t>-</w:t>
      </w:r>
      <w:r w:rsidRPr="00DA2A02">
        <w:rPr>
          <w:i/>
          <w:lang w:val="nl-NL"/>
        </w:rPr>
        <w:t>vivo</w:t>
      </w:r>
      <w:r w:rsidR="00BA1D5C">
        <w:rPr>
          <w:lang w:val="nl-NL"/>
        </w:rPr>
        <w:t>-</w:t>
      </w:r>
      <w:r w:rsidRPr="000D625A">
        <w:rPr>
          <w:lang w:val="nl-NL"/>
        </w:rPr>
        <w:t>bioassay bij de rat (Steelman</w:t>
      </w:r>
      <w:r w:rsidR="0085730C" w:rsidRPr="000D625A">
        <w:rPr>
          <w:lang w:val="nl-NL"/>
        </w:rPr>
        <w:noBreakHyphen/>
      </w:r>
      <w:r w:rsidRPr="000D625A">
        <w:rPr>
          <w:lang w:val="nl-NL"/>
        </w:rPr>
        <w:t>Pohley</w:t>
      </w:r>
      <w:r w:rsidR="00CF2613">
        <w:rPr>
          <w:lang w:val="nl-NL"/>
        </w:rPr>
        <w:t>-</w:t>
      </w:r>
      <w:r w:rsidRPr="000D625A">
        <w:rPr>
          <w:lang w:val="nl-NL"/>
        </w:rPr>
        <w:t xml:space="preserve">assay), </w:t>
      </w:r>
      <w:r w:rsidR="00CF2613">
        <w:rPr>
          <w:lang w:val="nl-NL"/>
        </w:rPr>
        <w:t>is</w:t>
      </w:r>
      <w:r w:rsidRPr="000D625A">
        <w:rPr>
          <w:lang w:val="nl-NL"/>
        </w:rPr>
        <w:t xml:space="preserve"> bij de patiënten die REKOVELLE kregen een hogere ovariële respons (d.w.z. oestradiol, inhibine</w:t>
      </w:r>
      <w:r w:rsidR="0085730C" w:rsidRPr="000D625A">
        <w:rPr>
          <w:lang w:val="nl-NL"/>
        </w:rPr>
        <w:t> </w:t>
      </w:r>
      <w:r w:rsidRPr="000D625A">
        <w:rPr>
          <w:lang w:val="nl-NL"/>
        </w:rPr>
        <w:t>B en follikelvolume) waargenomen vergeleken met follitropine</w:t>
      </w:r>
      <w:r w:rsidR="006615B4">
        <w:rPr>
          <w:szCs w:val="22"/>
          <w:lang w:val="nl-NL"/>
        </w:rPr>
        <w:t>-</w:t>
      </w:r>
      <w:r w:rsidRPr="000D625A">
        <w:rPr>
          <w:lang w:val="nl-NL"/>
        </w:rPr>
        <w:t xml:space="preserve">alfa. Aangezien de bioassay bij de rat de werking van het FSH in REKOVELLE bij de mens wellicht niet volledig weerspiegelt, wordt REKOVELLE in microgram </w:t>
      </w:r>
      <w:r w:rsidR="00CF2613">
        <w:rPr>
          <w:lang w:val="nl-NL"/>
        </w:rPr>
        <w:t>(i</w:t>
      </w:r>
      <w:r w:rsidRPr="000D625A">
        <w:rPr>
          <w:lang w:val="nl-NL"/>
        </w:rPr>
        <w:t>n plaats van IE</w:t>
      </w:r>
      <w:r w:rsidR="00CF2613">
        <w:rPr>
          <w:lang w:val="nl-NL"/>
        </w:rPr>
        <w:t>)</w:t>
      </w:r>
      <w:r w:rsidRPr="000D625A">
        <w:rPr>
          <w:lang w:val="nl-NL"/>
        </w:rPr>
        <w:t xml:space="preserve"> gedoseerd. </w:t>
      </w:r>
    </w:p>
    <w:p w:rsidR="002D74EA" w:rsidRPr="000D625A" w:rsidRDefault="002D74EA" w:rsidP="00A06FAD">
      <w:pPr>
        <w:rPr>
          <w:szCs w:val="22"/>
          <w:lang w:val="nl-NL"/>
        </w:rPr>
      </w:pPr>
    </w:p>
    <w:p w:rsidR="00A06FAD" w:rsidRPr="000D625A" w:rsidRDefault="00A06FAD" w:rsidP="00A06FAD">
      <w:pPr>
        <w:rPr>
          <w:lang w:val="nl-NL"/>
        </w:rPr>
      </w:pPr>
      <w:r w:rsidRPr="000D625A">
        <w:rPr>
          <w:lang w:val="nl-NL"/>
        </w:rPr>
        <w:t>Het aantal gewonnen oöcyten stijgt met de dosis REKOVELLE en AMH</w:t>
      </w:r>
      <w:r w:rsidR="0085730C" w:rsidRPr="000D625A">
        <w:rPr>
          <w:lang w:val="nl-NL"/>
        </w:rPr>
        <w:noBreakHyphen/>
      </w:r>
      <w:r w:rsidRPr="000D625A">
        <w:rPr>
          <w:lang w:val="nl-NL"/>
        </w:rPr>
        <w:t>concentratie in het serum. Een toenemend lichaamsgewicht</w:t>
      </w:r>
      <w:r w:rsidR="00CF2613">
        <w:rPr>
          <w:lang w:val="nl-NL"/>
        </w:rPr>
        <w:t>,</w:t>
      </w:r>
      <w:r w:rsidRPr="000D625A">
        <w:rPr>
          <w:lang w:val="nl-NL"/>
        </w:rPr>
        <w:t xml:space="preserve"> daarentegen</w:t>
      </w:r>
      <w:r w:rsidR="00CF2613">
        <w:rPr>
          <w:lang w:val="nl-NL"/>
        </w:rPr>
        <w:t>, leidt</w:t>
      </w:r>
      <w:r w:rsidRPr="000D625A">
        <w:rPr>
          <w:lang w:val="nl-NL"/>
        </w:rPr>
        <w:t xml:space="preserve"> tot een daling van het aantal gewonnen oöcyten (alleen klinisch relevant voor REKOVELLE</w:t>
      </w:r>
      <w:r w:rsidR="0085730C" w:rsidRPr="000D625A">
        <w:rPr>
          <w:lang w:val="nl-NL"/>
        </w:rPr>
        <w:noBreakHyphen/>
      </w:r>
      <w:r w:rsidRPr="000D625A">
        <w:rPr>
          <w:lang w:val="nl-NL"/>
        </w:rPr>
        <w:t>doses van minder dan 12 microgram). Het hieruit resulterende REKOVELLE</w:t>
      </w:r>
      <w:r w:rsidR="008A3B5B">
        <w:rPr>
          <w:lang w:val="nl-NL"/>
        </w:rPr>
        <w:t>-</w:t>
      </w:r>
      <w:r w:rsidRPr="000D625A">
        <w:rPr>
          <w:lang w:val="nl-NL"/>
        </w:rPr>
        <w:t>doseringsschema is te vinden in rubriek</w:t>
      </w:r>
      <w:r w:rsidR="0085730C" w:rsidRPr="000D625A">
        <w:rPr>
          <w:lang w:val="nl-NL"/>
        </w:rPr>
        <w:t> </w:t>
      </w:r>
      <w:r w:rsidRPr="000D625A">
        <w:rPr>
          <w:lang w:val="nl-NL"/>
        </w:rPr>
        <w:t>4.2.</w:t>
      </w:r>
    </w:p>
    <w:p w:rsidR="00A06FAD" w:rsidRPr="000D625A" w:rsidRDefault="00A06FAD" w:rsidP="00A06FAD">
      <w:pPr>
        <w:rPr>
          <w:sz w:val="20"/>
          <w:szCs w:val="22"/>
          <w:lang w:val="nl-NL"/>
        </w:rPr>
      </w:pPr>
    </w:p>
    <w:p w:rsidR="00A06FAD" w:rsidRPr="000D625A" w:rsidRDefault="00A06FAD" w:rsidP="00A7195A">
      <w:pPr>
        <w:keepNext/>
        <w:rPr>
          <w:szCs w:val="22"/>
          <w:u w:val="single"/>
          <w:lang w:val="nl-NL"/>
        </w:rPr>
      </w:pPr>
      <w:r w:rsidRPr="000D625A">
        <w:rPr>
          <w:szCs w:val="22"/>
          <w:u w:val="single"/>
          <w:lang w:val="nl-NL"/>
        </w:rPr>
        <w:t>Klinische werkzaamheid en veiligheid</w:t>
      </w:r>
    </w:p>
    <w:p w:rsidR="00A06FAD" w:rsidRPr="000D625A" w:rsidRDefault="008A3B5B" w:rsidP="006008DC">
      <w:pPr>
        <w:keepLines/>
        <w:rPr>
          <w:szCs w:val="22"/>
          <w:lang w:val="nl-NL"/>
        </w:rPr>
      </w:pPr>
      <w:r>
        <w:rPr>
          <w:szCs w:val="22"/>
          <w:lang w:val="nl-NL"/>
        </w:rPr>
        <w:t>Het</w:t>
      </w:r>
      <w:r w:rsidR="00A06FAD" w:rsidRPr="000D625A">
        <w:rPr>
          <w:szCs w:val="22"/>
          <w:lang w:val="nl-NL"/>
        </w:rPr>
        <w:t xml:space="preserve"> ESTHER</w:t>
      </w:r>
      <w:r w:rsidR="00B41519" w:rsidRPr="000D625A">
        <w:rPr>
          <w:szCs w:val="22"/>
          <w:lang w:val="nl-NL"/>
        </w:rPr>
        <w:noBreakHyphen/>
      </w:r>
      <w:r w:rsidR="00A06FAD" w:rsidRPr="000D625A">
        <w:rPr>
          <w:szCs w:val="22"/>
          <w:lang w:val="nl-NL"/>
        </w:rPr>
        <w:t>1</w:t>
      </w:r>
      <w:r w:rsidR="00CF2613">
        <w:rPr>
          <w:szCs w:val="22"/>
          <w:lang w:val="nl-NL"/>
        </w:rPr>
        <w:t>-</w:t>
      </w:r>
      <w:r>
        <w:rPr>
          <w:szCs w:val="22"/>
          <w:lang w:val="nl-NL"/>
        </w:rPr>
        <w:t>onderzoek</w:t>
      </w:r>
      <w:r w:rsidRPr="000D625A">
        <w:rPr>
          <w:szCs w:val="22"/>
          <w:lang w:val="nl-NL"/>
        </w:rPr>
        <w:t xml:space="preserve"> </w:t>
      </w:r>
      <w:r w:rsidR="00A06FAD" w:rsidRPr="000D625A">
        <w:rPr>
          <w:szCs w:val="22"/>
          <w:lang w:val="nl-NL"/>
        </w:rPr>
        <w:t>was een gerandomiseerd, gecontroleerd onderzoek met geblindeerde assessor bij 1</w:t>
      </w:r>
      <w:r w:rsidR="009A2C2D">
        <w:rPr>
          <w:szCs w:val="22"/>
          <w:lang w:val="nl-NL"/>
        </w:rPr>
        <w:t>.</w:t>
      </w:r>
      <w:r w:rsidR="00A06FAD" w:rsidRPr="000D625A">
        <w:rPr>
          <w:szCs w:val="22"/>
          <w:lang w:val="nl-NL"/>
        </w:rPr>
        <w:t>326</w:t>
      </w:r>
      <w:r w:rsidR="0085730C" w:rsidRPr="000D625A">
        <w:rPr>
          <w:szCs w:val="22"/>
          <w:lang w:val="nl-NL"/>
        </w:rPr>
        <w:t> </w:t>
      </w:r>
      <w:r w:rsidR="00A06FAD" w:rsidRPr="000D625A">
        <w:rPr>
          <w:szCs w:val="22"/>
          <w:lang w:val="nl-NL"/>
        </w:rPr>
        <w:t>IVF/ICSI</w:t>
      </w:r>
      <w:r w:rsidR="00B41519" w:rsidRPr="000D625A">
        <w:rPr>
          <w:szCs w:val="22"/>
          <w:lang w:val="nl-NL"/>
        </w:rPr>
        <w:noBreakHyphen/>
      </w:r>
      <w:r w:rsidR="00A06FAD" w:rsidRPr="000D625A">
        <w:rPr>
          <w:szCs w:val="22"/>
          <w:lang w:val="nl-NL"/>
        </w:rPr>
        <w:t xml:space="preserve">patiënten. </w:t>
      </w:r>
      <w:r>
        <w:rPr>
          <w:szCs w:val="22"/>
          <w:lang w:val="nl-NL"/>
        </w:rPr>
        <w:t>Het onderzoek</w:t>
      </w:r>
      <w:r w:rsidR="00CF2613">
        <w:rPr>
          <w:szCs w:val="22"/>
          <w:lang w:val="nl-NL"/>
        </w:rPr>
        <w:t xml:space="preserve"> </w:t>
      </w:r>
      <w:r w:rsidR="00A06FAD" w:rsidRPr="000D625A">
        <w:rPr>
          <w:szCs w:val="22"/>
          <w:lang w:val="nl-NL"/>
        </w:rPr>
        <w:t>vergeleek het geïndividualiseerde doseringsschema van REKOVELLE</w:t>
      </w:r>
      <w:r w:rsidR="00F80826">
        <w:rPr>
          <w:szCs w:val="22"/>
          <w:lang w:val="nl-NL"/>
        </w:rPr>
        <w:t>,</w:t>
      </w:r>
      <w:r w:rsidR="00A06FAD" w:rsidRPr="000D625A">
        <w:rPr>
          <w:szCs w:val="22"/>
          <w:lang w:val="nl-NL"/>
        </w:rPr>
        <w:t xml:space="preserve"> </w:t>
      </w:r>
      <w:r w:rsidR="00A06FAD" w:rsidRPr="000D625A">
        <w:rPr>
          <w:lang w:val="nl-NL"/>
        </w:rPr>
        <w:t>waarbij voor elke patiënt de dagelijkse dosis w</w:t>
      </w:r>
      <w:r w:rsidR="00F80826">
        <w:rPr>
          <w:lang w:val="nl-NL"/>
        </w:rPr>
        <w:t>o</w:t>
      </w:r>
      <w:r w:rsidR="00A06FAD" w:rsidRPr="000D625A">
        <w:rPr>
          <w:lang w:val="nl-NL"/>
        </w:rPr>
        <w:t>rd</w:t>
      </w:r>
      <w:r w:rsidR="00E644B5">
        <w:rPr>
          <w:lang w:val="nl-NL"/>
        </w:rPr>
        <w:t>t</w:t>
      </w:r>
      <w:r w:rsidR="00A06FAD" w:rsidRPr="000D625A">
        <w:rPr>
          <w:lang w:val="nl-NL"/>
        </w:rPr>
        <w:t xml:space="preserve"> bepaald </w:t>
      </w:r>
      <w:r w:rsidR="00F80826">
        <w:rPr>
          <w:lang w:val="nl-NL"/>
        </w:rPr>
        <w:t xml:space="preserve">en gehandhaafd </w:t>
      </w:r>
      <w:r w:rsidR="00A06FAD" w:rsidRPr="000D625A">
        <w:rPr>
          <w:lang w:val="nl-NL"/>
        </w:rPr>
        <w:t xml:space="preserve">gedurende de stimulatie zonder </w:t>
      </w:r>
      <w:r w:rsidR="00F80826">
        <w:rPr>
          <w:lang w:val="nl-NL"/>
        </w:rPr>
        <w:t>dosis</w:t>
      </w:r>
      <w:r w:rsidR="00A06FAD" w:rsidRPr="000D625A">
        <w:rPr>
          <w:lang w:val="nl-NL"/>
        </w:rPr>
        <w:t xml:space="preserve">aanpassingen </w:t>
      </w:r>
      <w:r w:rsidR="00A06FAD" w:rsidRPr="000D625A">
        <w:rPr>
          <w:sz w:val="20"/>
          <w:lang w:val="nl-NL"/>
        </w:rPr>
        <w:t>(</w:t>
      </w:r>
      <w:r w:rsidR="00A06FAD" w:rsidRPr="000D625A">
        <w:rPr>
          <w:lang w:val="nl-NL"/>
        </w:rPr>
        <w:t>zie rubriek</w:t>
      </w:r>
      <w:r w:rsidR="0085730C" w:rsidRPr="000D625A">
        <w:rPr>
          <w:lang w:val="nl-NL"/>
        </w:rPr>
        <w:t> </w:t>
      </w:r>
      <w:r w:rsidR="00A06FAD" w:rsidRPr="000D625A">
        <w:rPr>
          <w:lang w:val="nl-NL"/>
        </w:rPr>
        <w:t>4.2)</w:t>
      </w:r>
      <w:r w:rsidR="00F80826">
        <w:rPr>
          <w:lang w:val="nl-NL"/>
        </w:rPr>
        <w:t>,</w:t>
      </w:r>
      <w:r w:rsidR="00A06FAD" w:rsidRPr="000D625A">
        <w:rPr>
          <w:szCs w:val="22"/>
          <w:lang w:val="nl-NL"/>
        </w:rPr>
        <w:t xml:space="preserve"> met follitropine</w:t>
      </w:r>
      <w:r w:rsidR="006615B4">
        <w:rPr>
          <w:szCs w:val="22"/>
          <w:lang w:val="nl-NL"/>
        </w:rPr>
        <w:t>-</w:t>
      </w:r>
      <w:r w:rsidR="00A06FAD" w:rsidRPr="000D625A">
        <w:rPr>
          <w:szCs w:val="22"/>
          <w:lang w:val="nl-NL"/>
        </w:rPr>
        <w:t xml:space="preserve">alfa </w:t>
      </w:r>
      <w:r w:rsidR="0085730C" w:rsidRPr="000D625A">
        <w:rPr>
          <w:szCs w:val="22"/>
          <w:lang w:val="nl-NL"/>
        </w:rPr>
        <w:t>‘</w:t>
      </w:r>
      <w:r w:rsidR="00A06FAD" w:rsidRPr="00A7195A">
        <w:rPr>
          <w:i/>
          <w:lang w:val="nl-NL"/>
        </w:rPr>
        <w:t>filled</w:t>
      </w:r>
      <w:r w:rsidR="00B41519" w:rsidRPr="00A7195A">
        <w:rPr>
          <w:i/>
          <w:lang w:val="nl-NL"/>
        </w:rPr>
        <w:noBreakHyphen/>
      </w:r>
      <w:r w:rsidR="00A06FAD" w:rsidRPr="00A7195A">
        <w:rPr>
          <w:i/>
          <w:lang w:val="nl-NL"/>
        </w:rPr>
        <w:t>by</w:t>
      </w:r>
      <w:r w:rsidR="00B41519" w:rsidRPr="00A7195A">
        <w:rPr>
          <w:i/>
          <w:lang w:val="nl-NL"/>
        </w:rPr>
        <w:noBreakHyphen/>
      </w:r>
      <w:r w:rsidR="00A06FAD" w:rsidRPr="00A7195A">
        <w:rPr>
          <w:i/>
          <w:lang w:val="nl-NL"/>
        </w:rPr>
        <w:t>mass</w:t>
      </w:r>
      <w:r w:rsidR="00A06FAD" w:rsidRPr="000D625A">
        <w:rPr>
          <w:szCs w:val="22"/>
          <w:lang w:val="nl-NL"/>
        </w:rPr>
        <w:t>’ bij een aanvangsdosis van 11 microgram (150 IE) gedurende de eerste vijf dagen, gevolgd door dosisaanpassingen vanaf dag</w:t>
      </w:r>
      <w:r w:rsidR="0085730C" w:rsidRPr="000D625A">
        <w:rPr>
          <w:szCs w:val="22"/>
          <w:lang w:val="nl-NL"/>
        </w:rPr>
        <w:t> </w:t>
      </w:r>
      <w:r w:rsidR="00A06FAD" w:rsidRPr="000D625A">
        <w:rPr>
          <w:szCs w:val="22"/>
          <w:lang w:val="nl-NL"/>
        </w:rPr>
        <w:t>6 van de stimulatie op basis van de follikelontwikkeling in een GnRH</w:t>
      </w:r>
      <w:r w:rsidR="0085730C" w:rsidRPr="000D625A">
        <w:rPr>
          <w:szCs w:val="22"/>
          <w:lang w:val="nl-NL"/>
        </w:rPr>
        <w:noBreakHyphen/>
      </w:r>
      <w:r w:rsidR="00A06FAD" w:rsidRPr="000D625A">
        <w:rPr>
          <w:szCs w:val="22"/>
          <w:lang w:val="nl-NL"/>
        </w:rPr>
        <w:t>antagonistprotocol. De patiënten waren maximaal 40</w:t>
      </w:r>
      <w:r w:rsidR="0085730C" w:rsidRPr="000D625A">
        <w:rPr>
          <w:szCs w:val="22"/>
          <w:lang w:val="nl-NL"/>
        </w:rPr>
        <w:t> </w:t>
      </w:r>
      <w:r w:rsidR="00A06FAD" w:rsidRPr="000D625A">
        <w:rPr>
          <w:szCs w:val="22"/>
          <w:lang w:val="nl-NL"/>
        </w:rPr>
        <w:t>jaar oud en hadden een regelmatige menstruatiecyclus, waarvan werd aangenomen dat deze ovulatoir was. Een enkelvoudige blastocysttransfer op dag</w:t>
      </w:r>
      <w:r w:rsidR="0085730C" w:rsidRPr="000D625A">
        <w:rPr>
          <w:szCs w:val="22"/>
          <w:lang w:val="nl-NL"/>
        </w:rPr>
        <w:t> </w:t>
      </w:r>
      <w:r w:rsidR="00A06FAD" w:rsidRPr="000D625A">
        <w:rPr>
          <w:szCs w:val="22"/>
          <w:lang w:val="nl-NL"/>
        </w:rPr>
        <w:t>5 was verplicht, behalve bij patiënten van 38</w:t>
      </w:r>
      <w:r w:rsidR="009A2C2D">
        <w:rPr>
          <w:szCs w:val="22"/>
          <w:lang w:val="nl-NL"/>
        </w:rPr>
        <w:noBreakHyphen/>
        <w:t>40 </w:t>
      </w:r>
      <w:r w:rsidR="00A06FAD" w:rsidRPr="000D625A">
        <w:rPr>
          <w:szCs w:val="22"/>
          <w:lang w:val="nl-NL"/>
        </w:rPr>
        <w:t>jaar bij wie een dubbele blastocysttransfer werd uitgevoerd als er geen blastocysten van goede kwaliteit beschikbaar waren. De twee coprimaire eindpunten waren het percentage doorgaande zwangerschappen en het percentage doorgaande implantaties in de nieuwe cyclus, gedefinieerd als ten minste één intra</w:t>
      </w:r>
      <w:r w:rsidR="0085730C" w:rsidRPr="000D625A">
        <w:rPr>
          <w:szCs w:val="22"/>
          <w:lang w:val="nl-NL"/>
        </w:rPr>
        <w:noBreakHyphen/>
      </w:r>
      <w:r w:rsidR="00A06FAD" w:rsidRPr="000D625A">
        <w:rPr>
          <w:szCs w:val="22"/>
          <w:lang w:val="nl-NL"/>
        </w:rPr>
        <w:t>uteriene levensvatbare foetus op 10</w:t>
      </w:r>
      <w:r w:rsidR="009A2C2D">
        <w:rPr>
          <w:szCs w:val="22"/>
          <w:lang w:val="nl-NL"/>
        </w:rPr>
        <w:noBreakHyphen/>
      </w:r>
      <w:r w:rsidR="00A06FAD" w:rsidRPr="000D625A">
        <w:rPr>
          <w:szCs w:val="22"/>
          <w:lang w:val="nl-NL"/>
        </w:rPr>
        <w:t>11 weken na de transfer respectievelijk het aantal intra</w:t>
      </w:r>
      <w:r w:rsidR="0085730C" w:rsidRPr="000D625A">
        <w:rPr>
          <w:szCs w:val="22"/>
          <w:lang w:val="nl-NL"/>
        </w:rPr>
        <w:noBreakHyphen/>
      </w:r>
      <w:r w:rsidR="00A06FAD" w:rsidRPr="000D625A">
        <w:rPr>
          <w:szCs w:val="22"/>
          <w:lang w:val="nl-NL"/>
        </w:rPr>
        <w:t>uteriene levensvatbare foetussen op 10</w:t>
      </w:r>
      <w:r w:rsidR="009A2C2D">
        <w:rPr>
          <w:szCs w:val="22"/>
          <w:lang w:val="nl-NL"/>
        </w:rPr>
        <w:noBreakHyphen/>
      </w:r>
      <w:r w:rsidR="00A06FAD" w:rsidRPr="000D625A">
        <w:rPr>
          <w:szCs w:val="22"/>
          <w:lang w:val="nl-NL"/>
        </w:rPr>
        <w:t>11 weken na de transfer, gedeeld door het aantal overgeplaatste blastocysten.</w:t>
      </w:r>
    </w:p>
    <w:p w:rsidR="0085730C" w:rsidRPr="000D625A" w:rsidRDefault="0085730C" w:rsidP="006008DC">
      <w:pPr>
        <w:keepLines/>
        <w:rPr>
          <w:szCs w:val="22"/>
          <w:lang w:val="nl-NL"/>
        </w:rPr>
      </w:pPr>
    </w:p>
    <w:p w:rsidR="00A06FAD" w:rsidRPr="000D625A" w:rsidRDefault="008A3B5B" w:rsidP="00A06FAD">
      <w:pPr>
        <w:outlineLvl w:val="0"/>
        <w:rPr>
          <w:szCs w:val="22"/>
          <w:lang w:val="nl-NL"/>
        </w:rPr>
      </w:pPr>
      <w:r>
        <w:rPr>
          <w:szCs w:val="22"/>
          <w:lang w:val="nl-NL"/>
        </w:rPr>
        <w:t>Het onderzoek</w:t>
      </w:r>
      <w:r w:rsidR="00A06FAD" w:rsidRPr="000D625A">
        <w:rPr>
          <w:szCs w:val="22"/>
          <w:lang w:val="nl-NL"/>
        </w:rPr>
        <w:t xml:space="preserve"> toonde aan dat REKOVELLE ten minste even doeltreffend was als follitropine</w:t>
      </w:r>
      <w:r w:rsidR="006615B4">
        <w:rPr>
          <w:szCs w:val="22"/>
          <w:lang w:val="nl-NL"/>
        </w:rPr>
        <w:t>-</w:t>
      </w:r>
      <w:r w:rsidR="00A06FAD" w:rsidRPr="000D625A">
        <w:rPr>
          <w:szCs w:val="22"/>
          <w:lang w:val="nl-NL"/>
        </w:rPr>
        <w:t>alfa wat betreft het percentage doorgaande zwangerschappen en het percentage doorgaande implantaties, zoals aangegeven in tabel</w:t>
      </w:r>
      <w:r w:rsidR="0085730C" w:rsidRPr="000D625A">
        <w:rPr>
          <w:szCs w:val="22"/>
          <w:lang w:val="nl-NL"/>
        </w:rPr>
        <w:t> </w:t>
      </w:r>
      <w:r w:rsidR="00A06FAD" w:rsidRPr="000D625A">
        <w:rPr>
          <w:szCs w:val="22"/>
          <w:lang w:val="nl-NL"/>
        </w:rPr>
        <w:t xml:space="preserve">3. </w:t>
      </w:r>
    </w:p>
    <w:p w:rsidR="00A06FAD" w:rsidRPr="000D625A" w:rsidRDefault="00A06FAD" w:rsidP="00A06FAD">
      <w:pPr>
        <w:outlineLvl w:val="0"/>
        <w:rPr>
          <w:b/>
          <w:sz w:val="20"/>
          <w:szCs w:val="22"/>
          <w:lang w:val="nl-NL"/>
        </w:rPr>
      </w:pPr>
      <w:r w:rsidRPr="000D625A">
        <w:rPr>
          <w:b/>
          <w:bCs/>
          <w:sz w:val="20"/>
          <w:szCs w:val="22"/>
          <w:lang w:val="nl-NL"/>
        </w:rPr>
        <w:t xml:space="preserve"> </w:t>
      </w:r>
    </w:p>
    <w:p w:rsidR="00A06FAD" w:rsidRPr="000D625A" w:rsidRDefault="00A06FAD" w:rsidP="00CF2613">
      <w:pPr>
        <w:pStyle w:val="Caption"/>
        <w:ind w:left="0" w:firstLine="0"/>
        <w:rPr>
          <w:sz w:val="22"/>
          <w:lang w:val="nl-NL"/>
        </w:rPr>
      </w:pPr>
      <w:r w:rsidRPr="000D625A">
        <w:rPr>
          <w:sz w:val="22"/>
          <w:lang w:val="nl-NL"/>
        </w:rPr>
        <w:t>Tabel</w:t>
      </w:r>
      <w:r w:rsidR="0085730C" w:rsidRPr="000D625A">
        <w:rPr>
          <w:sz w:val="22"/>
          <w:lang w:val="nl-NL"/>
        </w:rPr>
        <w:t> </w:t>
      </w:r>
      <w:r w:rsidRPr="000D625A">
        <w:rPr>
          <w:sz w:val="22"/>
          <w:lang w:val="nl-NL"/>
        </w:rPr>
        <w:fldChar w:fldCharType="begin"/>
      </w:r>
      <w:r w:rsidRPr="000D625A">
        <w:rPr>
          <w:sz w:val="22"/>
          <w:lang w:val="nl-NL"/>
        </w:rPr>
        <w:instrText xml:space="preserve"> SEQ Table \* ARABIC </w:instrText>
      </w:r>
      <w:r w:rsidRPr="000D625A">
        <w:rPr>
          <w:sz w:val="22"/>
          <w:lang w:val="nl-NL"/>
        </w:rPr>
        <w:fldChar w:fldCharType="separate"/>
      </w:r>
      <w:r w:rsidRPr="000D625A">
        <w:rPr>
          <w:sz w:val="22"/>
          <w:lang w:val="nl-NL"/>
        </w:rPr>
        <w:t>3</w:t>
      </w:r>
      <w:r w:rsidRPr="000D625A">
        <w:rPr>
          <w:sz w:val="22"/>
          <w:lang w:val="nl-NL"/>
        </w:rPr>
        <w:fldChar w:fldCharType="end"/>
      </w:r>
      <w:r w:rsidRPr="000D625A">
        <w:rPr>
          <w:sz w:val="22"/>
          <w:lang w:val="nl-NL"/>
        </w:rPr>
        <w:t xml:space="preserve"> Percentage doorgaande zwangerschappen en percentage doorgaande implantaties in </w:t>
      </w:r>
      <w:r w:rsidR="00FA1F23">
        <w:rPr>
          <w:sz w:val="22"/>
          <w:lang w:val="nl-NL"/>
        </w:rPr>
        <w:t>het</w:t>
      </w:r>
      <w:r w:rsidR="00FA1F23" w:rsidRPr="000D625A">
        <w:rPr>
          <w:sz w:val="22"/>
          <w:lang w:val="nl-NL"/>
        </w:rPr>
        <w:t xml:space="preserve"> </w:t>
      </w:r>
      <w:r w:rsidRPr="000D625A">
        <w:rPr>
          <w:sz w:val="22"/>
          <w:lang w:val="nl-NL"/>
        </w:rPr>
        <w:t>ESTHER</w:t>
      </w:r>
      <w:r w:rsidR="0085730C" w:rsidRPr="000D625A">
        <w:rPr>
          <w:sz w:val="22"/>
          <w:lang w:val="nl-NL"/>
        </w:rPr>
        <w:noBreakHyphen/>
      </w:r>
      <w:r w:rsidRPr="000D625A">
        <w:rPr>
          <w:sz w:val="22"/>
          <w:lang w:val="nl-NL"/>
        </w:rPr>
        <w:t>1</w:t>
      </w:r>
      <w:r w:rsidR="00CB2212" w:rsidRPr="000D625A">
        <w:rPr>
          <w:sz w:val="22"/>
          <w:lang w:val="nl-NL"/>
        </w:rPr>
        <w:noBreakHyphen/>
      </w:r>
      <w:r w:rsidR="00FA1F23">
        <w:rPr>
          <w:sz w:val="22"/>
          <w:lang w:val="nl-NL"/>
        </w:rPr>
        <w:t>onderzoek</w:t>
      </w:r>
      <w:r w:rsidR="00FA1F23" w:rsidRPr="000D625A">
        <w:rPr>
          <w:b w:val="0"/>
          <w:bCs w:val="0"/>
          <w:sz w:val="22"/>
          <w:lang w:val="nl-NL"/>
        </w:rPr>
        <w:t xml:space="preserve"> </w:t>
      </w:r>
    </w:p>
    <w:tbl>
      <w:tblPr>
        <w:tblW w:w="8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1933"/>
        <w:gridCol w:w="1559"/>
        <w:gridCol w:w="2240"/>
      </w:tblGrid>
      <w:tr w:rsidR="00A06FAD" w:rsidRPr="000D625A" w:rsidTr="00CB65A6">
        <w:trPr>
          <w:cantSplit/>
          <w:trHeight w:val="646"/>
        </w:trPr>
        <w:tc>
          <w:tcPr>
            <w:tcW w:w="2344" w:type="dxa"/>
            <w:tcBorders>
              <w:top w:val="single" w:sz="4" w:space="0" w:color="auto"/>
              <w:left w:val="single" w:sz="4" w:space="0" w:color="auto"/>
              <w:bottom w:val="single" w:sz="4" w:space="0" w:color="auto"/>
              <w:right w:val="single" w:sz="4" w:space="0" w:color="auto"/>
            </w:tcBorders>
            <w:shd w:val="clear" w:color="auto" w:fill="auto"/>
          </w:tcPr>
          <w:p w:rsidR="00A06FAD" w:rsidRPr="000D625A" w:rsidRDefault="00A06FAD" w:rsidP="0072565A">
            <w:pPr>
              <w:keepNext/>
              <w:keepLines/>
              <w:suppressAutoHyphens/>
              <w:rPr>
                <w:szCs w:val="22"/>
                <w:lang w:val="nl-NL"/>
              </w:rPr>
            </w:pPr>
          </w:p>
        </w:tc>
        <w:tc>
          <w:tcPr>
            <w:tcW w:w="1933"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89173D" w:rsidP="0072565A">
            <w:pPr>
              <w:keepNext/>
              <w:keepLines/>
              <w:suppressAutoHyphens/>
              <w:rPr>
                <w:szCs w:val="22"/>
                <w:lang w:val="nl-NL"/>
              </w:rPr>
            </w:pPr>
            <w:r w:rsidRPr="000D625A">
              <w:rPr>
                <w:szCs w:val="22"/>
                <w:lang w:val="nl-NL"/>
              </w:rPr>
              <w:t xml:space="preserve">REKOVELLE in een geïndividualiseerd doseringsschema </w:t>
            </w:r>
            <w:r w:rsidRPr="000D625A">
              <w:rPr>
                <w:szCs w:val="22"/>
                <w:lang w:val="nl-NL"/>
              </w:rPr>
              <w:br/>
              <w:t>(N</w:t>
            </w:r>
            <w:r w:rsidR="00CF2613">
              <w:rPr>
                <w:szCs w:val="22"/>
                <w:lang w:val="nl-NL"/>
              </w:rPr>
              <w:t xml:space="preserve"> </w:t>
            </w:r>
            <w:r w:rsidRPr="000D625A">
              <w:rPr>
                <w:szCs w:val="22"/>
                <w:lang w:val="nl-NL"/>
              </w:rPr>
              <w:t>=</w:t>
            </w:r>
            <w:r w:rsidR="00CF2613">
              <w:rPr>
                <w:szCs w:val="22"/>
                <w:lang w:val="nl-NL"/>
              </w:rPr>
              <w:t xml:space="preserve"> </w:t>
            </w:r>
            <w:r w:rsidRPr="000D625A">
              <w:rPr>
                <w:szCs w:val="22"/>
                <w:lang w:val="nl-NL"/>
              </w:rPr>
              <w:t>665)</w:t>
            </w:r>
          </w:p>
        </w:tc>
        <w:tc>
          <w:tcPr>
            <w:tcW w:w="1559" w:type="dxa"/>
            <w:tcBorders>
              <w:top w:val="single" w:sz="4" w:space="0" w:color="auto"/>
              <w:left w:val="single" w:sz="4" w:space="0" w:color="auto"/>
              <w:bottom w:val="single" w:sz="4" w:space="0" w:color="auto"/>
              <w:right w:val="single" w:sz="4" w:space="0" w:color="auto"/>
            </w:tcBorders>
            <w:shd w:val="clear" w:color="auto" w:fill="auto"/>
          </w:tcPr>
          <w:p w:rsidR="00A06FAD" w:rsidRPr="000D625A" w:rsidRDefault="00A06FAD" w:rsidP="0072565A">
            <w:pPr>
              <w:keepNext/>
              <w:keepLines/>
              <w:suppressAutoHyphens/>
              <w:rPr>
                <w:szCs w:val="22"/>
                <w:lang w:val="nl-NL"/>
              </w:rPr>
            </w:pPr>
            <w:r w:rsidRPr="000D625A">
              <w:rPr>
                <w:szCs w:val="22"/>
                <w:lang w:val="nl-NL"/>
              </w:rPr>
              <w:t>Follitropine</w:t>
            </w:r>
            <w:r w:rsidR="006615B4">
              <w:rPr>
                <w:szCs w:val="22"/>
                <w:lang w:val="nl-NL"/>
              </w:rPr>
              <w:t>-</w:t>
            </w:r>
            <w:r w:rsidRPr="000D625A">
              <w:rPr>
                <w:szCs w:val="22"/>
                <w:lang w:val="nl-NL"/>
              </w:rPr>
              <w:t xml:space="preserve">alfa </w:t>
            </w:r>
          </w:p>
          <w:p w:rsidR="00A06FAD" w:rsidRPr="000D625A" w:rsidRDefault="00A06FAD" w:rsidP="0072565A">
            <w:pPr>
              <w:keepNext/>
              <w:keepLines/>
              <w:suppressAutoHyphens/>
              <w:rPr>
                <w:szCs w:val="22"/>
                <w:lang w:val="nl-NL"/>
              </w:rPr>
            </w:pPr>
          </w:p>
          <w:p w:rsidR="00A06FAD" w:rsidRPr="000D625A" w:rsidRDefault="00A06FAD" w:rsidP="0072565A">
            <w:pPr>
              <w:keepNext/>
              <w:keepLines/>
              <w:suppressAutoHyphens/>
              <w:rPr>
                <w:szCs w:val="22"/>
                <w:lang w:val="nl-NL"/>
              </w:rPr>
            </w:pPr>
            <w:r w:rsidRPr="000D625A">
              <w:rPr>
                <w:szCs w:val="22"/>
                <w:lang w:val="nl-NL"/>
              </w:rPr>
              <w:t xml:space="preserve"> </w:t>
            </w:r>
            <w:r w:rsidRPr="000D625A">
              <w:rPr>
                <w:szCs w:val="22"/>
                <w:lang w:val="nl-NL"/>
              </w:rPr>
              <w:br/>
              <w:t>(N</w:t>
            </w:r>
            <w:r w:rsidR="00CF2613">
              <w:rPr>
                <w:szCs w:val="22"/>
                <w:lang w:val="nl-NL"/>
              </w:rPr>
              <w:t xml:space="preserve"> </w:t>
            </w:r>
            <w:r w:rsidRPr="000D625A">
              <w:rPr>
                <w:szCs w:val="22"/>
                <w:lang w:val="nl-NL"/>
              </w:rPr>
              <w:t>=</w:t>
            </w:r>
            <w:r w:rsidR="00CF2613">
              <w:rPr>
                <w:szCs w:val="22"/>
                <w:lang w:val="nl-NL"/>
              </w:rPr>
              <w:t xml:space="preserve"> </w:t>
            </w:r>
            <w:r w:rsidRPr="000D625A">
              <w:rPr>
                <w:szCs w:val="22"/>
                <w:lang w:val="nl-NL"/>
              </w:rPr>
              <w:t>661)</w:t>
            </w:r>
          </w:p>
        </w:tc>
        <w:tc>
          <w:tcPr>
            <w:tcW w:w="2240"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894C1A">
            <w:pPr>
              <w:keepNext/>
              <w:keepLines/>
              <w:suppressAutoHyphens/>
              <w:rPr>
                <w:szCs w:val="22"/>
                <w:lang w:val="nl-NL"/>
              </w:rPr>
            </w:pPr>
            <w:r w:rsidRPr="000D625A">
              <w:rPr>
                <w:szCs w:val="22"/>
                <w:lang w:val="nl-NL"/>
              </w:rPr>
              <w:t>Verschil [95%</w:t>
            </w:r>
            <w:r w:rsidR="006615B4">
              <w:rPr>
                <w:szCs w:val="22"/>
                <w:lang w:val="nl-NL"/>
              </w:rPr>
              <w:t>-</w:t>
            </w:r>
            <w:r w:rsidR="00CF2613">
              <w:rPr>
                <w:szCs w:val="22"/>
                <w:lang w:val="nl-NL"/>
              </w:rPr>
              <w:t>B</w:t>
            </w:r>
            <w:r w:rsidRPr="000D625A">
              <w:rPr>
                <w:szCs w:val="22"/>
                <w:lang w:val="nl-NL"/>
              </w:rPr>
              <w:t>I]</w:t>
            </w:r>
          </w:p>
        </w:tc>
      </w:tr>
      <w:tr w:rsidR="00A06FAD" w:rsidRPr="000D625A" w:rsidTr="00CB65A6">
        <w:trPr>
          <w:cantSplit/>
          <w:trHeight w:val="313"/>
        </w:trPr>
        <w:tc>
          <w:tcPr>
            <w:tcW w:w="2344"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72565A">
            <w:pPr>
              <w:keepNext/>
              <w:keepLines/>
              <w:suppressAutoHyphens/>
              <w:rPr>
                <w:szCs w:val="22"/>
                <w:lang w:val="nl-NL"/>
              </w:rPr>
            </w:pPr>
            <w:r w:rsidRPr="000D625A">
              <w:rPr>
                <w:szCs w:val="22"/>
                <w:lang w:val="nl-NL"/>
              </w:rPr>
              <w:t xml:space="preserve">Percentage doorgaande zwangerschappen </w:t>
            </w:r>
          </w:p>
        </w:tc>
        <w:tc>
          <w:tcPr>
            <w:tcW w:w="1933"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72565A">
            <w:pPr>
              <w:keepNext/>
              <w:keepLines/>
              <w:suppressAutoHyphens/>
              <w:rPr>
                <w:szCs w:val="22"/>
                <w:lang w:val="nl-NL"/>
              </w:rPr>
            </w:pPr>
            <w:r w:rsidRPr="000D625A">
              <w:rPr>
                <w:szCs w:val="22"/>
                <w:lang w:val="nl-NL"/>
              </w:rPr>
              <w:t>30,7%</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72565A">
            <w:pPr>
              <w:keepNext/>
              <w:keepLines/>
              <w:suppressAutoHyphens/>
              <w:rPr>
                <w:szCs w:val="22"/>
                <w:lang w:val="nl-NL"/>
              </w:rPr>
            </w:pPr>
            <w:r w:rsidRPr="000D625A">
              <w:rPr>
                <w:szCs w:val="22"/>
                <w:lang w:val="nl-NL"/>
              </w:rPr>
              <w:t>31,6%</w:t>
            </w:r>
          </w:p>
        </w:tc>
        <w:tc>
          <w:tcPr>
            <w:tcW w:w="2240"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72565A">
            <w:pPr>
              <w:keepNext/>
              <w:keepLines/>
              <w:suppressAutoHyphens/>
              <w:rPr>
                <w:szCs w:val="22"/>
                <w:lang w:val="nl-NL"/>
              </w:rPr>
            </w:pPr>
            <w:r w:rsidRPr="000D625A">
              <w:rPr>
                <w:szCs w:val="22"/>
                <w:lang w:val="nl-NL"/>
              </w:rPr>
              <w:t>-0,9% [-5,9%; 4,1%]</w:t>
            </w:r>
          </w:p>
        </w:tc>
      </w:tr>
      <w:tr w:rsidR="00A06FAD" w:rsidRPr="000D625A" w:rsidTr="00CB65A6">
        <w:trPr>
          <w:cantSplit/>
          <w:trHeight w:val="323"/>
        </w:trPr>
        <w:tc>
          <w:tcPr>
            <w:tcW w:w="2344"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CB65A6">
            <w:pPr>
              <w:keepLines/>
              <w:suppressAutoHyphens/>
              <w:rPr>
                <w:szCs w:val="22"/>
                <w:lang w:val="nl-NL"/>
              </w:rPr>
            </w:pPr>
            <w:r w:rsidRPr="000D625A">
              <w:rPr>
                <w:szCs w:val="22"/>
                <w:lang w:val="nl-NL"/>
              </w:rPr>
              <w:t xml:space="preserve">Percentage doorgaande implantaties </w:t>
            </w:r>
          </w:p>
        </w:tc>
        <w:tc>
          <w:tcPr>
            <w:tcW w:w="1933"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CB65A6">
            <w:pPr>
              <w:keepLines/>
              <w:suppressAutoHyphens/>
              <w:rPr>
                <w:szCs w:val="22"/>
                <w:lang w:val="nl-NL"/>
              </w:rPr>
            </w:pPr>
            <w:r w:rsidRPr="000D625A">
              <w:rPr>
                <w:szCs w:val="22"/>
                <w:lang w:val="nl-NL"/>
              </w:rPr>
              <w:t>35,2%</w:t>
            </w:r>
          </w:p>
        </w:tc>
        <w:tc>
          <w:tcPr>
            <w:tcW w:w="1559"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CB65A6">
            <w:pPr>
              <w:keepLines/>
              <w:suppressAutoHyphens/>
              <w:rPr>
                <w:szCs w:val="22"/>
                <w:lang w:val="nl-NL"/>
              </w:rPr>
            </w:pPr>
            <w:r w:rsidRPr="000D625A">
              <w:rPr>
                <w:szCs w:val="22"/>
                <w:lang w:val="nl-NL"/>
              </w:rPr>
              <w:t>35,8%</w:t>
            </w:r>
          </w:p>
        </w:tc>
        <w:tc>
          <w:tcPr>
            <w:tcW w:w="2240" w:type="dxa"/>
            <w:tcBorders>
              <w:top w:val="single" w:sz="4" w:space="0" w:color="auto"/>
              <w:left w:val="single" w:sz="4" w:space="0" w:color="auto"/>
              <w:bottom w:val="single" w:sz="4" w:space="0" w:color="auto"/>
              <w:right w:val="single" w:sz="4" w:space="0" w:color="auto"/>
            </w:tcBorders>
            <w:shd w:val="clear" w:color="auto" w:fill="auto"/>
            <w:hideMark/>
          </w:tcPr>
          <w:p w:rsidR="00A06FAD" w:rsidRPr="000D625A" w:rsidRDefault="00A06FAD" w:rsidP="00583194">
            <w:pPr>
              <w:keepLines/>
              <w:suppressAutoHyphens/>
              <w:rPr>
                <w:szCs w:val="22"/>
                <w:lang w:val="nl-NL"/>
              </w:rPr>
            </w:pPr>
            <w:r w:rsidRPr="000D625A">
              <w:rPr>
                <w:szCs w:val="22"/>
                <w:lang w:val="nl-NL"/>
              </w:rPr>
              <w:t>-0,6% [-6,1%; 4,8%]</w:t>
            </w:r>
          </w:p>
        </w:tc>
      </w:tr>
      <w:tr w:rsidR="00A06FAD" w:rsidRPr="00C71C67" w:rsidTr="00CB65A6">
        <w:trPr>
          <w:cantSplit/>
          <w:trHeight w:val="187"/>
        </w:trPr>
        <w:tc>
          <w:tcPr>
            <w:tcW w:w="8076" w:type="dxa"/>
            <w:gridSpan w:val="4"/>
            <w:tcBorders>
              <w:top w:val="single" w:sz="4" w:space="0" w:color="auto"/>
              <w:left w:val="nil"/>
              <w:bottom w:val="nil"/>
              <w:right w:val="nil"/>
            </w:tcBorders>
            <w:shd w:val="clear" w:color="auto" w:fill="auto"/>
            <w:hideMark/>
          </w:tcPr>
          <w:p w:rsidR="00A06FAD" w:rsidRPr="000D625A" w:rsidRDefault="00A06FAD" w:rsidP="00CB65A6">
            <w:pPr>
              <w:keepLines/>
              <w:suppressAutoHyphens/>
              <w:rPr>
                <w:szCs w:val="22"/>
                <w:lang w:val="nl-NL"/>
              </w:rPr>
            </w:pPr>
            <w:r w:rsidRPr="000D625A">
              <w:rPr>
                <w:sz w:val="20"/>
                <w:szCs w:val="22"/>
                <w:lang w:val="nl-NL"/>
              </w:rPr>
              <w:t xml:space="preserve"> Populatie: allen gerandomiseerd en blootgesteld </w:t>
            </w:r>
          </w:p>
        </w:tc>
      </w:tr>
    </w:tbl>
    <w:p w:rsidR="00A06FAD" w:rsidRPr="000D625A" w:rsidRDefault="00A06FAD" w:rsidP="00A06FAD">
      <w:pPr>
        <w:rPr>
          <w:lang w:val="nl-NL"/>
        </w:rPr>
      </w:pPr>
    </w:p>
    <w:p w:rsidR="00A06FAD" w:rsidRPr="000D625A" w:rsidRDefault="00A06FAD" w:rsidP="00A06FAD">
      <w:pPr>
        <w:rPr>
          <w:lang w:val="nl-NL"/>
        </w:rPr>
      </w:pPr>
      <w:r w:rsidRPr="000D625A">
        <w:rPr>
          <w:lang w:val="nl-NL"/>
        </w:rPr>
        <w:t xml:space="preserve">Het effect van het op AMH gebaseerde doseringsschema van REKOVELLE </w:t>
      </w:r>
      <w:r w:rsidR="00CF2613">
        <w:rPr>
          <w:lang w:val="nl-NL"/>
        </w:rPr>
        <w:t>is</w:t>
      </w:r>
      <w:r w:rsidRPr="000D625A">
        <w:rPr>
          <w:lang w:val="nl-NL"/>
        </w:rPr>
        <w:t xml:space="preserve"> eveneens beoordeeld op secundaire eindpunten zoals ovariële respons</w:t>
      </w:r>
      <w:r w:rsidR="0085730C" w:rsidRPr="000D625A">
        <w:rPr>
          <w:lang w:val="nl-NL"/>
        </w:rPr>
        <w:t xml:space="preserve"> en</w:t>
      </w:r>
      <w:r w:rsidRPr="000D625A">
        <w:rPr>
          <w:lang w:val="nl-NL"/>
        </w:rPr>
        <w:t xml:space="preserve"> OHSS</w:t>
      </w:r>
      <w:r w:rsidR="0085730C" w:rsidRPr="000D625A">
        <w:rPr>
          <w:lang w:val="nl-NL"/>
        </w:rPr>
        <w:noBreakHyphen/>
      </w:r>
      <w:r w:rsidRPr="000D625A">
        <w:rPr>
          <w:lang w:val="nl-NL"/>
        </w:rPr>
        <w:t>risico.</w:t>
      </w:r>
    </w:p>
    <w:p w:rsidR="00A06FAD" w:rsidRPr="000D625A" w:rsidRDefault="00A06FAD" w:rsidP="00A06FAD">
      <w:pPr>
        <w:outlineLvl w:val="0"/>
        <w:rPr>
          <w:szCs w:val="22"/>
          <w:lang w:val="nl-NL"/>
        </w:rPr>
      </w:pPr>
    </w:p>
    <w:p w:rsidR="00EE1004" w:rsidRPr="00EE1004" w:rsidRDefault="00EE1004" w:rsidP="00EE1004">
      <w:pPr>
        <w:outlineLvl w:val="0"/>
        <w:rPr>
          <w:noProof/>
          <w:szCs w:val="22"/>
          <w:lang w:val="nl-NL"/>
        </w:rPr>
      </w:pPr>
      <w:r w:rsidRPr="00EE1004">
        <w:rPr>
          <w:noProof/>
          <w:szCs w:val="22"/>
          <w:lang w:val="nl-NL"/>
        </w:rPr>
        <w:t xml:space="preserve">Bij de </w:t>
      </w:r>
      <w:r>
        <w:rPr>
          <w:noProof/>
          <w:szCs w:val="22"/>
          <w:lang w:val="nl-NL"/>
        </w:rPr>
        <w:t>gehele</w:t>
      </w:r>
      <w:r w:rsidRPr="00EE1004">
        <w:rPr>
          <w:noProof/>
          <w:szCs w:val="22"/>
          <w:lang w:val="nl-NL"/>
        </w:rPr>
        <w:t xml:space="preserve"> </w:t>
      </w:r>
      <w:r w:rsidR="00FA1F23">
        <w:rPr>
          <w:noProof/>
          <w:szCs w:val="22"/>
          <w:lang w:val="nl-NL"/>
        </w:rPr>
        <w:t>onderzoeks</w:t>
      </w:r>
      <w:r w:rsidRPr="00EE1004">
        <w:rPr>
          <w:noProof/>
          <w:szCs w:val="22"/>
          <w:lang w:val="nl-NL"/>
        </w:rPr>
        <w:t xml:space="preserve">populatie </w:t>
      </w:r>
      <w:r w:rsidR="00460AC2">
        <w:rPr>
          <w:noProof/>
          <w:szCs w:val="22"/>
          <w:lang w:val="nl-NL"/>
        </w:rPr>
        <w:t>bedroeg</w:t>
      </w:r>
      <w:r w:rsidRPr="00EE1004">
        <w:rPr>
          <w:noProof/>
          <w:szCs w:val="22"/>
          <w:lang w:val="nl-NL"/>
        </w:rPr>
        <w:t xml:space="preserve"> het gemiddeld aantal gewonnen oöcyten met REKOVELLE in </w:t>
      </w:r>
      <w:r w:rsidR="00460AC2">
        <w:rPr>
          <w:noProof/>
          <w:szCs w:val="22"/>
          <w:lang w:val="nl-NL"/>
        </w:rPr>
        <w:t>een</w:t>
      </w:r>
      <w:r w:rsidRPr="00EE1004">
        <w:rPr>
          <w:noProof/>
          <w:szCs w:val="22"/>
          <w:lang w:val="nl-NL"/>
        </w:rPr>
        <w:t xml:space="preserve"> </w:t>
      </w:r>
      <w:r w:rsidR="00460AC2" w:rsidRPr="00460AC2">
        <w:rPr>
          <w:noProof/>
          <w:szCs w:val="22"/>
          <w:lang w:val="nl-NL"/>
        </w:rPr>
        <w:t xml:space="preserve">geïndividualiseerd doseringsschema </w:t>
      </w:r>
      <w:r w:rsidRPr="00EE1004">
        <w:rPr>
          <w:noProof/>
          <w:szCs w:val="22"/>
          <w:lang w:val="nl-NL"/>
        </w:rPr>
        <w:t xml:space="preserve">10,0 ± 5,6 </w:t>
      </w:r>
      <w:r w:rsidR="00460AC2" w:rsidRPr="00460AC2">
        <w:rPr>
          <w:noProof/>
          <w:szCs w:val="22"/>
          <w:lang w:val="nl-NL"/>
        </w:rPr>
        <w:t xml:space="preserve">(N=636) </w:t>
      </w:r>
      <w:r w:rsidRPr="00EE1004">
        <w:rPr>
          <w:noProof/>
          <w:szCs w:val="22"/>
          <w:lang w:val="nl-NL"/>
        </w:rPr>
        <w:t xml:space="preserve">en </w:t>
      </w:r>
      <w:r>
        <w:rPr>
          <w:noProof/>
          <w:szCs w:val="22"/>
          <w:lang w:val="nl-NL"/>
        </w:rPr>
        <w:t>met</w:t>
      </w:r>
      <w:r w:rsidRPr="00EE1004">
        <w:rPr>
          <w:noProof/>
          <w:szCs w:val="22"/>
          <w:lang w:val="nl-NL"/>
        </w:rPr>
        <w:t xml:space="preserve"> follitropin</w:t>
      </w:r>
      <w:r>
        <w:rPr>
          <w:noProof/>
          <w:szCs w:val="22"/>
          <w:lang w:val="nl-NL"/>
        </w:rPr>
        <w:t>e</w:t>
      </w:r>
      <w:r w:rsidR="006615B4">
        <w:rPr>
          <w:szCs w:val="22"/>
          <w:lang w:val="nl-NL"/>
        </w:rPr>
        <w:t>-</w:t>
      </w:r>
      <w:r w:rsidRPr="00EE1004">
        <w:rPr>
          <w:noProof/>
          <w:szCs w:val="22"/>
          <w:lang w:val="nl-NL"/>
        </w:rPr>
        <w:t xml:space="preserve">alfa </w:t>
      </w:r>
      <w:r>
        <w:rPr>
          <w:noProof/>
          <w:szCs w:val="22"/>
          <w:lang w:val="nl-NL"/>
        </w:rPr>
        <w:t xml:space="preserve">bij een </w:t>
      </w:r>
      <w:r w:rsidR="00CF2613">
        <w:rPr>
          <w:noProof/>
          <w:szCs w:val="22"/>
          <w:lang w:val="nl-NL"/>
        </w:rPr>
        <w:t>aanvangs</w:t>
      </w:r>
      <w:r>
        <w:rPr>
          <w:noProof/>
          <w:szCs w:val="22"/>
          <w:lang w:val="nl-NL"/>
        </w:rPr>
        <w:t>dosis van 150</w:t>
      </w:r>
      <w:r w:rsidRPr="00EE1004">
        <w:rPr>
          <w:noProof/>
          <w:szCs w:val="22"/>
          <w:lang w:val="nl-NL"/>
        </w:rPr>
        <w:t> I</w:t>
      </w:r>
      <w:r>
        <w:rPr>
          <w:noProof/>
          <w:szCs w:val="22"/>
          <w:lang w:val="nl-NL"/>
        </w:rPr>
        <w:t>E gevolgd door dosisaanpassingen</w:t>
      </w:r>
      <w:r w:rsidR="00460AC2">
        <w:rPr>
          <w:noProof/>
          <w:szCs w:val="22"/>
          <w:lang w:val="nl-NL"/>
        </w:rPr>
        <w:t xml:space="preserve">, </w:t>
      </w:r>
      <w:r w:rsidR="009A2C2D">
        <w:rPr>
          <w:noProof/>
          <w:szCs w:val="22"/>
          <w:lang w:val="nl-NL"/>
        </w:rPr>
        <w:t>10,4 ± </w:t>
      </w:r>
      <w:r w:rsidR="00460AC2" w:rsidRPr="00460AC2">
        <w:rPr>
          <w:noProof/>
          <w:szCs w:val="22"/>
          <w:lang w:val="nl-NL"/>
        </w:rPr>
        <w:t>6,5</w:t>
      </w:r>
      <w:r w:rsidR="00460AC2">
        <w:rPr>
          <w:noProof/>
          <w:szCs w:val="22"/>
          <w:lang w:val="nl-NL"/>
        </w:rPr>
        <w:t xml:space="preserve"> </w:t>
      </w:r>
      <w:r w:rsidR="00460AC2" w:rsidRPr="00460AC2">
        <w:rPr>
          <w:noProof/>
          <w:szCs w:val="22"/>
          <w:lang w:val="nl-NL"/>
        </w:rPr>
        <w:t>(N=643)</w:t>
      </w:r>
      <w:r w:rsidRPr="00EE1004">
        <w:rPr>
          <w:noProof/>
          <w:szCs w:val="22"/>
          <w:lang w:val="nl-NL"/>
        </w:rPr>
        <w:t xml:space="preserve">. </w:t>
      </w:r>
    </w:p>
    <w:p w:rsidR="00EE1004" w:rsidRPr="00EE1004" w:rsidRDefault="00EE1004" w:rsidP="00EE1004">
      <w:pPr>
        <w:outlineLvl w:val="0"/>
        <w:rPr>
          <w:noProof/>
          <w:szCs w:val="22"/>
          <w:lang w:val="nl-NL"/>
        </w:rPr>
      </w:pPr>
    </w:p>
    <w:p w:rsidR="00EE1004" w:rsidRPr="00460AC2" w:rsidRDefault="00460AC2" w:rsidP="00EE1004">
      <w:pPr>
        <w:outlineLvl w:val="0"/>
        <w:rPr>
          <w:noProof/>
          <w:szCs w:val="22"/>
          <w:lang w:val="nl-NL"/>
        </w:rPr>
      </w:pPr>
      <w:r w:rsidRPr="00460AC2">
        <w:rPr>
          <w:noProof/>
          <w:szCs w:val="22"/>
          <w:lang w:val="nl-NL"/>
        </w:rPr>
        <w:t>Bij patiënten met</w:t>
      </w:r>
      <w:r w:rsidR="00EE1004" w:rsidRPr="00460AC2">
        <w:rPr>
          <w:noProof/>
          <w:szCs w:val="22"/>
          <w:lang w:val="nl-NL"/>
        </w:rPr>
        <w:t xml:space="preserve"> AMH ≥</w:t>
      </w:r>
      <w:r w:rsidR="009A2C2D">
        <w:rPr>
          <w:noProof/>
          <w:szCs w:val="22"/>
          <w:lang w:val="nl-NL"/>
        </w:rPr>
        <w:t> </w:t>
      </w:r>
      <w:r w:rsidR="00EE1004" w:rsidRPr="00460AC2">
        <w:rPr>
          <w:noProof/>
          <w:szCs w:val="22"/>
          <w:lang w:val="nl-NL"/>
        </w:rPr>
        <w:t>15 pmol/</w:t>
      </w:r>
      <w:r w:rsidRPr="00460AC2">
        <w:rPr>
          <w:noProof/>
          <w:szCs w:val="22"/>
          <w:lang w:val="nl-NL"/>
        </w:rPr>
        <w:t>l</w:t>
      </w:r>
      <w:r w:rsidR="00EE1004" w:rsidRPr="00460AC2">
        <w:rPr>
          <w:noProof/>
          <w:szCs w:val="22"/>
          <w:lang w:val="nl-NL"/>
        </w:rPr>
        <w:t xml:space="preserve"> </w:t>
      </w:r>
      <w:r>
        <w:rPr>
          <w:noProof/>
          <w:szCs w:val="22"/>
          <w:lang w:val="nl-NL"/>
        </w:rPr>
        <w:t>was</w:t>
      </w:r>
      <w:r w:rsidRPr="00460AC2">
        <w:rPr>
          <w:noProof/>
          <w:szCs w:val="22"/>
          <w:lang w:val="nl-NL"/>
        </w:rPr>
        <w:t xml:space="preserve"> de ovariële respons met</w:t>
      </w:r>
      <w:r w:rsidR="00EE1004" w:rsidRPr="00460AC2">
        <w:rPr>
          <w:noProof/>
          <w:szCs w:val="22"/>
          <w:lang w:val="nl-NL"/>
        </w:rPr>
        <w:t xml:space="preserve"> REKOVELLE (N</w:t>
      </w:r>
      <w:r w:rsidR="009A2C2D">
        <w:rPr>
          <w:noProof/>
          <w:szCs w:val="22"/>
          <w:lang w:val="nl-NL"/>
        </w:rPr>
        <w:t> </w:t>
      </w:r>
      <w:r w:rsidR="00EE1004" w:rsidRPr="00460AC2">
        <w:rPr>
          <w:noProof/>
          <w:szCs w:val="22"/>
          <w:lang w:val="nl-NL"/>
        </w:rPr>
        <w:t>=</w:t>
      </w:r>
      <w:r w:rsidR="009A2C2D">
        <w:rPr>
          <w:noProof/>
          <w:szCs w:val="22"/>
          <w:lang w:val="nl-NL"/>
        </w:rPr>
        <w:t> </w:t>
      </w:r>
      <w:r w:rsidR="00EE1004" w:rsidRPr="00460AC2">
        <w:rPr>
          <w:noProof/>
          <w:szCs w:val="22"/>
          <w:lang w:val="nl-NL"/>
        </w:rPr>
        <w:t>355)</w:t>
      </w:r>
      <w:r w:rsidRPr="00460AC2">
        <w:rPr>
          <w:noProof/>
          <w:szCs w:val="22"/>
          <w:lang w:val="nl-NL"/>
        </w:rPr>
        <w:t xml:space="preserve"> </w:t>
      </w:r>
      <w:r w:rsidR="00841F8C">
        <w:rPr>
          <w:noProof/>
          <w:szCs w:val="22"/>
          <w:lang w:val="nl-NL"/>
        </w:rPr>
        <w:t>respectievelijk</w:t>
      </w:r>
      <w:r w:rsidR="00EE1004" w:rsidRPr="00460AC2">
        <w:rPr>
          <w:noProof/>
          <w:szCs w:val="22"/>
          <w:lang w:val="nl-NL"/>
        </w:rPr>
        <w:t xml:space="preserve"> follitropin</w:t>
      </w:r>
      <w:r w:rsidRPr="00460AC2">
        <w:rPr>
          <w:noProof/>
          <w:szCs w:val="22"/>
          <w:lang w:val="nl-NL"/>
        </w:rPr>
        <w:t>e</w:t>
      </w:r>
      <w:r w:rsidR="006615B4">
        <w:rPr>
          <w:szCs w:val="22"/>
          <w:lang w:val="nl-NL"/>
        </w:rPr>
        <w:t>-</w:t>
      </w:r>
      <w:r w:rsidR="00EE1004" w:rsidRPr="00460AC2">
        <w:rPr>
          <w:noProof/>
          <w:szCs w:val="22"/>
          <w:lang w:val="nl-NL"/>
        </w:rPr>
        <w:t>alfa (N</w:t>
      </w:r>
      <w:r w:rsidR="009A2C2D">
        <w:rPr>
          <w:noProof/>
          <w:szCs w:val="22"/>
          <w:lang w:val="nl-NL"/>
        </w:rPr>
        <w:t> </w:t>
      </w:r>
      <w:r w:rsidR="00EE1004" w:rsidRPr="00460AC2">
        <w:rPr>
          <w:noProof/>
          <w:szCs w:val="22"/>
          <w:lang w:val="nl-NL"/>
        </w:rPr>
        <w:t>=</w:t>
      </w:r>
      <w:r w:rsidR="009A2C2D">
        <w:rPr>
          <w:noProof/>
          <w:szCs w:val="22"/>
          <w:lang w:val="nl-NL"/>
        </w:rPr>
        <w:t> </w:t>
      </w:r>
      <w:r w:rsidR="009A2C2D">
        <w:rPr>
          <w:lang w:val="nl-NL"/>
        </w:rPr>
        <w:t>3</w:t>
      </w:r>
      <w:r w:rsidR="00EE1004" w:rsidRPr="00460AC2">
        <w:rPr>
          <w:noProof/>
          <w:szCs w:val="22"/>
          <w:lang w:val="nl-NL"/>
        </w:rPr>
        <w:t>53)</w:t>
      </w:r>
      <w:r w:rsidRPr="00460AC2">
        <w:rPr>
          <w:noProof/>
          <w:szCs w:val="22"/>
          <w:lang w:val="nl-NL"/>
        </w:rPr>
        <w:t xml:space="preserve"> het volgende:</w:t>
      </w:r>
      <w:r>
        <w:rPr>
          <w:noProof/>
          <w:szCs w:val="22"/>
          <w:lang w:val="nl-NL"/>
        </w:rPr>
        <w:t xml:space="preserve"> </w:t>
      </w:r>
      <w:r w:rsidRPr="00460AC2">
        <w:rPr>
          <w:noProof/>
          <w:szCs w:val="22"/>
          <w:lang w:val="nl-NL"/>
        </w:rPr>
        <w:t xml:space="preserve">gemiddeld aantal gewonnen oöcyten </w:t>
      </w:r>
      <w:r w:rsidR="00EE1004" w:rsidRPr="00460AC2">
        <w:rPr>
          <w:noProof/>
          <w:szCs w:val="22"/>
          <w:lang w:val="nl-NL"/>
        </w:rPr>
        <w:t>11</w:t>
      </w:r>
      <w:r>
        <w:rPr>
          <w:noProof/>
          <w:szCs w:val="22"/>
          <w:lang w:val="nl-NL"/>
        </w:rPr>
        <w:t>,</w:t>
      </w:r>
      <w:r w:rsidR="00EE1004" w:rsidRPr="00460AC2">
        <w:rPr>
          <w:noProof/>
          <w:szCs w:val="22"/>
          <w:lang w:val="nl-NL"/>
        </w:rPr>
        <w:t>6 ± 5</w:t>
      </w:r>
      <w:r>
        <w:rPr>
          <w:noProof/>
          <w:szCs w:val="22"/>
          <w:lang w:val="nl-NL"/>
        </w:rPr>
        <w:t>,</w:t>
      </w:r>
      <w:r w:rsidR="00EE1004" w:rsidRPr="00460AC2">
        <w:rPr>
          <w:noProof/>
          <w:szCs w:val="22"/>
          <w:lang w:val="nl-NL"/>
        </w:rPr>
        <w:t xml:space="preserve">9 </w:t>
      </w:r>
      <w:r>
        <w:rPr>
          <w:noProof/>
          <w:szCs w:val="22"/>
          <w:lang w:val="nl-NL"/>
        </w:rPr>
        <w:t>en</w:t>
      </w:r>
      <w:r w:rsidR="00EE1004" w:rsidRPr="00460AC2">
        <w:rPr>
          <w:noProof/>
          <w:szCs w:val="22"/>
          <w:lang w:val="nl-NL"/>
        </w:rPr>
        <w:t xml:space="preserve"> 13</w:t>
      </w:r>
      <w:r>
        <w:rPr>
          <w:noProof/>
          <w:szCs w:val="22"/>
          <w:lang w:val="nl-NL"/>
        </w:rPr>
        <w:t>,</w:t>
      </w:r>
      <w:r w:rsidR="00EE1004" w:rsidRPr="00460AC2">
        <w:rPr>
          <w:noProof/>
          <w:szCs w:val="22"/>
          <w:lang w:val="nl-NL"/>
        </w:rPr>
        <w:t>3 ± 6</w:t>
      </w:r>
      <w:r>
        <w:rPr>
          <w:noProof/>
          <w:szCs w:val="22"/>
          <w:lang w:val="nl-NL"/>
        </w:rPr>
        <w:t>,</w:t>
      </w:r>
      <w:r w:rsidR="00EE1004" w:rsidRPr="00460AC2">
        <w:rPr>
          <w:noProof/>
          <w:szCs w:val="22"/>
          <w:lang w:val="nl-NL"/>
        </w:rPr>
        <w:t xml:space="preserve">9, </w:t>
      </w:r>
      <w:r>
        <w:rPr>
          <w:noProof/>
          <w:szCs w:val="22"/>
          <w:lang w:val="nl-NL"/>
        </w:rPr>
        <w:t xml:space="preserve">en </w:t>
      </w:r>
      <w:r w:rsidR="00CF2613">
        <w:rPr>
          <w:noProof/>
          <w:szCs w:val="22"/>
          <w:lang w:val="nl-NL"/>
        </w:rPr>
        <w:t xml:space="preserve">het aandeel </w:t>
      </w:r>
      <w:r w:rsidR="00841F8C" w:rsidRPr="00841F8C">
        <w:rPr>
          <w:noProof/>
          <w:szCs w:val="22"/>
          <w:lang w:val="nl-NL"/>
        </w:rPr>
        <w:t xml:space="preserve">patiënten </w:t>
      </w:r>
      <w:r w:rsidR="00841F8C">
        <w:rPr>
          <w:noProof/>
          <w:szCs w:val="22"/>
          <w:lang w:val="nl-NL"/>
        </w:rPr>
        <w:t>met</w:t>
      </w:r>
      <w:r w:rsidR="00EE1004" w:rsidRPr="00460AC2">
        <w:rPr>
          <w:noProof/>
          <w:szCs w:val="22"/>
          <w:lang w:val="nl-NL"/>
        </w:rPr>
        <w:t xml:space="preserve"> ≥</w:t>
      </w:r>
      <w:r w:rsidR="009A2C2D">
        <w:rPr>
          <w:noProof/>
          <w:szCs w:val="22"/>
          <w:lang w:val="nl-NL"/>
        </w:rPr>
        <w:t> </w:t>
      </w:r>
      <w:r w:rsidR="00EE1004" w:rsidRPr="00460AC2">
        <w:rPr>
          <w:noProof/>
          <w:szCs w:val="22"/>
          <w:lang w:val="nl-NL"/>
        </w:rPr>
        <w:t>20 </w:t>
      </w:r>
      <w:r w:rsidR="00841F8C" w:rsidRPr="00841F8C">
        <w:rPr>
          <w:noProof/>
          <w:szCs w:val="22"/>
          <w:lang w:val="nl-NL"/>
        </w:rPr>
        <w:t xml:space="preserve">oöcyten </w:t>
      </w:r>
      <w:r w:rsidR="00EE1004" w:rsidRPr="00460AC2">
        <w:rPr>
          <w:noProof/>
          <w:szCs w:val="22"/>
          <w:lang w:val="nl-NL"/>
        </w:rPr>
        <w:t>10</w:t>
      </w:r>
      <w:r w:rsidR="00841F8C">
        <w:rPr>
          <w:noProof/>
          <w:szCs w:val="22"/>
          <w:lang w:val="nl-NL"/>
        </w:rPr>
        <w:t>,</w:t>
      </w:r>
      <w:r w:rsidR="00EE1004" w:rsidRPr="00460AC2">
        <w:rPr>
          <w:noProof/>
          <w:szCs w:val="22"/>
          <w:lang w:val="nl-NL"/>
        </w:rPr>
        <w:t xml:space="preserve">1% (36/355) </w:t>
      </w:r>
      <w:r w:rsidR="00841F8C">
        <w:rPr>
          <w:noProof/>
          <w:szCs w:val="22"/>
          <w:lang w:val="nl-NL"/>
        </w:rPr>
        <w:t>en</w:t>
      </w:r>
      <w:r w:rsidR="00EE1004" w:rsidRPr="00460AC2">
        <w:rPr>
          <w:noProof/>
          <w:szCs w:val="22"/>
          <w:lang w:val="nl-NL"/>
        </w:rPr>
        <w:t xml:space="preserve"> 15</w:t>
      </w:r>
      <w:r w:rsidR="00841F8C">
        <w:rPr>
          <w:noProof/>
          <w:szCs w:val="22"/>
          <w:lang w:val="nl-NL"/>
        </w:rPr>
        <w:t>,</w:t>
      </w:r>
      <w:r w:rsidR="00EE1004" w:rsidRPr="00460AC2">
        <w:rPr>
          <w:noProof/>
          <w:szCs w:val="22"/>
          <w:lang w:val="nl-NL"/>
        </w:rPr>
        <w:t>6% (55/353).</w:t>
      </w:r>
    </w:p>
    <w:p w:rsidR="00EE1004" w:rsidRPr="00460AC2" w:rsidRDefault="00EE1004" w:rsidP="00A06FAD">
      <w:pPr>
        <w:outlineLvl w:val="0"/>
        <w:rPr>
          <w:szCs w:val="22"/>
          <w:lang w:val="nl-NL"/>
        </w:rPr>
      </w:pPr>
    </w:p>
    <w:p w:rsidR="008158E9" w:rsidRPr="000D625A" w:rsidRDefault="00A621EF" w:rsidP="00A06FAD">
      <w:pPr>
        <w:outlineLvl w:val="0"/>
        <w:rPr>
          <w:lang w:val="nl-NL"/>
        </w:rPr>
      </w:pPr>
      <w:r w:rsidRPr="000D625A">
        <w:rPr>
          <w:szCs w:val="22"/>
          <w:lang w:val="nl-NL"/>
        </w:rPr>
        <w:t xml:space="preserve">Bij ovulatoire patiënten met polycysteuze ovaria was de incidentie van </w:t>
      </w:r>
      <w:r w:rsidRPr="000D625A">
        <w:rPr>
          <w:lang w:val="nl-NL"/>
        </w:rPr>
        <w:t xml:space="preserve">vroeg matig/ernstig OHSS en/of preventieve interventies voor vroeg OHSS 7,7% </w:t>
      </w:r>
      <w:r w:rsidR="00841F8C">
        <w:rPr>
          <w:lang w:val="nl-NL"/>
        </w:rPr>
        <w:t>bij</w:t>
      </w:r>
      <w:r w:rsidRPr="000D625A">
        <w:rPr>
          <w:lang w:val="nl-NL"/>
        </w:rPr>
        <w:t xml:space="preserve"> REKOVELLE </w:t>
      </w:r>
      <w:r w:rsidR="00841F8C">
        <w:rPr>
          <w:lang w:val="nl-NL"/>
        </w:rPr>
        <w:t>en</w:t>
      </w:r>
      <w:r w:rsidRPr="000D625A">
        <w:rPr>
          <w:lang w:val="nl-NL"/>
        </w:rPr>
        <w:t xml:space="preserve"> 26,7% bij follitropine</w:t>
      </w:r>
      <w:r w:rsidR="006615B4">
        <w:rPr>
          <w:szCs w:val="22"/>
          <w:lang w:val="nl-NL"/>
        </w:rPr>
        <w:t>-</w:t>
      </w:r>
      <w:r w:rsidRPr="000D625A">
        <w:rPr>
          <w:lang w:val="nl-NL"/>
        </w:rPr>
        <w:t xml:space="preserve">alfa. </w:t>
      </w:r>
    </w:p>
    <w:p w:rsidR="00A621EF" w:rsidRPr="000D625A" w:rsidRDefault="00A621EF" w:rsidP="00A06FAD">
      <w:pPr>
        <w:outlineLvl w:val="0"/>
        <w:rPr>
          <w:szCs w:val="22"/>
          <w:lang w:val="nl-NL"/>
        </w:rPr>
      </w:pPr>
    </w:p>
    <w:p w:rsidR="00A06FAD" w:rsidRPr="000D625A" w:rsidRDefault="00A06FAD" w:rsidP="00A06FAD">
      <w:pPr>
        <w:outlineLvl w:val="0"/>
        <w:rPr>
          <w:i/>
          <w:szCs w:val="22"/>
          <w:lang w:val="nl-NL"/>
        </w:rPr>
      </w:pPr>
      <w:r w:rsidRPr="000D625A">
        <w:rPr>
          <w:i/>
          <w:iCs/>
          <w:szCs w:val="22"/>
          <w:lang w:val="nl-NL"/>
        </w:rPr>
        <w:t>Veiligheid – immunogeniciteit</w:t>
      </w:r>
    </w:p>
    <w:p w:rsidR="00A06FAD" w:rsidRPr="000D625A" w:rsidRDefault="00A06FAD" w:rsidP="00A06FAD">
      <w:pPr>
        <w:rPr>
          <w:lang w:val="nl-NL"/>
        </w:rPr>
      </w:pPr>
      <w:r w:rsidRPr="000D625A">
        <w:rPr>
          <w:lang w:val="nl-NL"/>
        </w:rPr>
        <w:t xml:space="preserve">Voorafgaand </w:t>
      </w:r>
      <w:r w:rsidR="00CF2613">
        <w:rPr>
          <w:lang w:val="nl-NL"/>
        </w:rPr>
        <w:t xml:space="preserve">aan </w:t>
      </w:r>
      <w:r w:rsidRPr="000D625A">
        <w:rPr>
          <w:lang w:val="nl-NL"/>
        </w:rPr>
        <w:t xml:space="preserve">en na </w:t>
      </w:r>
      <w:r w:rsidR="00CF2613">
        <w:rPr>
          <w:lang w:val="nl-NL"/>
        </w:rPr>
        <w:t xml:space="preserve">de </w:t>
      </w:r>
      <w:r w:rsidRPr="000D625A">
        <w:rPr>
          <w:lang w:val="nl-NL"/>
        </w:rPr>
        <w:t xml:space="preserve">dosering </w:t>
      </w:r>
      <w:r w:rsidR="00CF2613">
        <w:rPr>
          <w:lang w:val="nl-NL"/>
        </w:rPr>
        <w:t>zijn</w:t>
      </w:r>
      <w:r w:rsidRPr="000D625A">
        <w:rPr>
          <w:lang w:val="nl-NL"/>
        </w:rPr>
        <w:t xml:space="preserve"> anti</w:t>
      </w:r>
      <w:r w:rsidR="0085730C" w:rsidRPr="000D625A">
        <w:rPr>
          <w:lang w:val="nl-NL"/>
        </w:rPr>
        <w:noBreakHyphen/>
      </w:r>
      <w:r w:rsidRPr="000D625A">
        <w:rPr>
          <w:lang w:val="nl-NL"/>
        </w:rPr>
        <w:t>FSH</w:t>
      </w:r>
      <w:r w:rsidR="0085730C" w:rsidRPr="000D625A">
        <w:rPr>
          <w:lang w:val="nl-NL"/>
        </w:rPr>
        <w:noBreakHyphen/>
      </w:r>
      <w:r w:rsidRPr="000D625A">
        <w:rPr>
          <w:lang w:val="nl-NL"/>
        </w:rPr>
        <w:t>antistoffen gemeten bij patiënten die maximaal drie herhaalde behandelingscycli met REKOVELLE ondergingen (665</w:t>
      </w:r>
      <w:r w:rsidR="0085730C" w:rsidRPr="000D625A">
        <w:rPr>
          <w:lang w:val="nl-NL"/>
        </w:rPr>
        <w:t> </w:t>
      </w:r>
      <w:r w:rsidRPr="000D625A">
        <w:rPr>
          <w:lang w:val="nl-NL"/>
        </w:rPr>
        <w:t>patiënten in cyclus</w:t>
      </w:r>
      <w:r w:rsidR="0085730C" w:rsidRPr="000D625A">
        <w:rPr>
          <w:lang w:val="nl-NL"/>
        </w:rPr>
        <w:t> </w:t>
      </w:r>
      <w:r w:rsidRPr="000D625A">
        <w:rPr>
          <w:lang w:val="nl-NL"/>
        </w:rPr>
        <w:t xml:space="preserve">1 in </w:t>
      </w:r>
      <w:r w:rsidR="00C613BB">
        <w:rPr>
          <w:lang w:val="nl-NL"/>
        </w:rPr>
        <w:t>het</w:t>
      </w:r>
      <w:r w:rsidRPr="000D625A">
        <w:rPr>
          <w:lang w:val="nl-NL"/>
        </w:rPr>
        <w:t xml:space="preserve"> ESTHER</w:t>
      </w:r>
      <w:r w:rsidR="0085730C" w:rsidRPr="000D625A">
        <w:rPr>
          <w:lang w:val="nl-NL"/>
        </w:rPr>
        <w:noBreakHyphen/>
      </w:r>
      <w:r w:rsidRPr="000D625A">
        <w:rPr>
          <w:lang w:val="nl-NL"/>
        </w:rPr>
        <w:t>1</w:t>
      </w:r>
      <w:r w:rsidR="00CF2613">
        <w:rPr>
          <w:lang w:val="nl-NL"/>
        </w:rPr>
        <w:t>-</w:t>
      </w:r>
      <w:r w:rsidR="00C613BB">
        <w:rPr>
          <w:lang w:val="nl-NL"/>
        </w:rPr>
        <w:t>onderzoek</w:t>
      </w:r>
      <w:r w:rsidR="00CF2613">
        <w:rPr>
          <w:lang w:val="nl-NL"/>
        </w:rPr>
        <w:t xml:space="preserve"> alsook</w:t>
      </w:r>
      <w:r w:rsidRPr="000D625A">
        <w:rPr>
          <w:lang w:val="nl-NL"/>
        </w:rPr>
        <w:t xml:space="preserve"> 252</w:t>
      </w:r>
      <w:r w:rsidR="0085730C" w:rsidRPr="000D625A">
        <w:rPr>
          <w:lang w:val="nl-NL"/>
        </w:rPr>
        <w:t> </w:t>
      </w:r>
      <w:r w:rsidRPr="000D625A">
        <w:rPr>
          <w:lang w:val="nl-NL"/>
        </w:rPr>
        <w:t>patiënten in cyclus</w:t>
      </w:r>
      <w:r w:rsidR="0085730C" w:rsidRPr="000D625A">
        <w:rPr>
          <w:lang w:val="nl-NL"/>
        </w:rPr>
        <w:t> </w:t>
      </w:r>
      <w:r w:rsidRPr="000D625A">
        <w:rPr>
          <w:lang w:val="nl-NL"/>
        </w:rPr>
        <w:t>2 en 95</w:t>
      </w:r>
      <w:r w:rsidR="0085730C" w:rsidRPr="000D625A">
        <w:rPr>
          <w:lang w:val="nl-NL"/>
        </w:rPr>
        <w:t> </w:t>
      </w:r>
      <w:r w:rsidRPr="000D625A">
        <w:rPr>
          <w:lang w:val="nl-NL"/>
        </w:rPr>
        <w:t>patiënten in cyclus</w:t>
      </w:r>
      <w:r w:rsidR="0085730C" w:rsidRPr="000D625A">
        <w:rPr>
          <w:lang w:val="nl-NL"/>
        </w:rPr>
        <w:t> </w:t>
      </w:r>
      <w:r w:rsidRPr="000D625A">
        <w:rPr>
          <w:lang w:val="nl-NL"/>
        </w:rPr>
        <w:t xml:space="preserve">3 in </w:t>
      </w:r>
      <w:r w:rsidR="00C613BB">
        <w:rPr>
          <w:lang w:val="nl-NL"/>
        </w:rPr>
        <w:t>het</w:t>
      </w:r>
      <w:r w:rsidRPr="000D625A">
        <w:rPr>
          <w:lang w:val="nl-NL"/>
        </w:rPr>
        <w:t xml:space="preserve"> ESTHER</w:t>
      </w:r>
      <w:r w:rsidR="0085730C" w:rsidRPr="000D625A">
        <w:rPr>
          <w:lang w:val="nl-NL"/>
        </w:rPr>
        <w:noBreakHyphen/>
      </w:r>
      <w:r w:rsidRPr="000D625A">
        <w:rPr>
          <w:lang w:val="nl-NL"/>
        </w:rPr>
        <w:t>2</w:t>
      </w:r>
      <w:r w:rsidR="00CF2613">
        <w:rPr>
          <w:lang w:val="nl-NL"/>
        </w:rPr>
        <w:t>-</w:t>
      </w:r>
      <w:r w:rsidR="00C613BB">
        <w:rPr>
          <w:lang w:val="nl-NL"/>
        </w:rPr>
        <w:t>onderzoek</w:t>
      </w:r>
      <w:r w:rsidRPr="000D625A">
        <w:rPr>
          <w:lang w:val="nl-NL"/>
        </w:rPr>
        <w:t>). De incidentie van anti</w:t>
      </w:r>
      <w:r w:rsidR="0085730C" w:rsidRPr="000D625A">
        <w:rPr>
          <w:lang w:val="nl-NL"/>
        </w:rPr>
        <w:noBreakHyphen/>
      </w:r>
      <w:r w:rsidRPr="000D625A">
        <w:rPr>
          <w:lang w:val="nl-NL"/>
        </w:rPr>
        <w:t>FSH</w:t>
      </w:r>
      <w:r w:rsidR="0085730C" w:rsidRPr="000D625A">
        <w:rPr>
          <w:lang w:val="nl-NL"/>
        </w:rPr>
        <w:noBreakHyphen/>
      </w:r>
      <w:r w:rsidRPr="000D625A">
        <w:rPr>
          <w:lang w:val="nl-NL"/>
        </w:rPr>
        <w:t>antistoffen na behandeling met REKOVELLE bedroeg 1,1% in cyclus</w:t>
      </w:r>
      <w:r w:rsidR="0085730C" w:rsidRPr="000D625A">
        <w:rPr>
          <w:lang w:val="nl-NL"/>
        </w:rPr>
        <w:t> </w:t>
      </w:r>
      <w:r w:rsidRPr="000D625A">
        <w:rPr>
          <w:lang w:val="nl-NL"/>
        </w:rPr>
        <w:t>1, 0,8% in cyclus</w:t>
      </w:r>
      <w:r w:rsidR="0085730C" w:rsidRPr="000D625A">
        <w:rPr>
          <w:lang w:val="nl-NL"/>
        </w:rPr>
        <w:t> </w:t>
      </w:r>
      <w:r w:rsidRPr="000D625A">
        <w:rPr>
          <w:lang w:val="nl-NL"/>
        </w:rPr>
        <w:t>2 en 1,1% in cyclus</w:t>
      </w:r>
      <w:r w:rsidR="0085730C" w:rsidRPr="000D625A">
        <w:rPr>
          <w:lang w:val="nl-NL"/>
        </w:rPr>
        <w:t> </w:t>
      </w:r>
      <w:r w:rsidRPr="000D625A">
        <w:rPr>
          <w:lang w:val="nl-NL"/>
        </w:rPr>
        <w:t>3. Deze percentages waren vergelijkbaar met de incidentie van reeds bestaande anti</w:t>
      </w:r>
      <w:r w:rsidR="0085730C" w:rsidRPr="000D625A">
        <w:rPr>
          <w:lang w:val="nl-NL"/>
        </w:rPr>
        <w:noBreakHyphen/>
      </w:r>
      <w:r w:rsidRPr="000D625A">
        <w:rPr>
          <w:lang w:val="nl-NL"/>
        </w:rPr>
        <w:t>FSH</w:t>
      </w:r>
      <w:r w:rsidR="0085730C" w:rsidRPr="000D625A">
        <w:rPr>
          <w:lang w:val="nl-NL"/>
        </w:rPr>
        <w:noBreakHyphen/>
      </w:r>
      <w:r w:rsidRPr="000D625A">
        <w:rPr>
          <w:lang w:val="nl-NL"/>
        </w:rPr>
        <w:t>antistoffen v</w:t>
      </w:r>
      <w:r w:rsidR="00CF2613">
        <w:rPr>
          <w:lang w:val="nl-NL"/>
        </w:rPr>
        <w:t>óó</w:t>
      </w:r>
      <w:r w:rsidRPr="000D625A">
        <w:rPr>
          <w:lang w:val="nl-NL"/>
        </w:rPr>
        <w:t>r de blootstelling aan REKOVELLE in cyclus</w:t>
      </w:r>
      <w:r w:rsidR="0085730C" w:rsidRPr="000D625A">
        <w:rPr>
          <w:lang w:val="nl-NL"/>
        </w:rPr>
        <w:t> </w:t>
      </w:r>
      <w:r w:rsidRPr="000D625A">
        <w:rPr>
          <w:lang w:val="nl-NL"/>
        </w:rPr>
        <w:t xml:space="preserve">1, </w:t>
      </w:r>
      <w:r w:rsidR="00CF2613">
        <w:rPr>
          <w:lang w:val="nl-NL"/>
        </w:rPr>
        <w:t>wat</w:t>
      </w:r>
      <w:r w:rsidRPr="000D625A">
        <w:rPr>
          <w:lang w:val="nl-NL"/>
        </w:rPr>
        <w:t xml:space="preserve"> 1,4% bedroeg, en vergelijkbaar met de incidentie</w:t>
      </w:r>
      <w:r w:rsidR="00CF2613">
        <w:rPr>
          <w:lang w:val="nl-NL"/>
        </w:rPr>
        <w:t>s</w:t>
      </w:r>
      <w:r w:rsidRPr="000D625A">
        <w:rPr>
          <w:lang w:val="nl-NL"/>
        </w:rPr>
        <w:t xml:space="preserve"> van anti</w:t>
      </w:r>
      <w:r w:rsidR="0085730C" w:rsidRPr="000D625A">
        <w:rPr>
          <w:lang w:val="nl-NL"/>
        </w:rPr>
        <w:noBreakHyphen/>
      </w:r>
      <w:r w:rsidRPr="000D625A">
        <w:rPr>
          <w:lang w:val="nl-NL"/>
        </w:rPr>
        <w:t>FSH</w:t>
      </w:r>
      <w:r w:rsidR="0085730C" w:rsidRPr="000D625A">
        <w:rPr>
          <w:lang w:val="nl-NL"/>
        </w:rPr>
        <w:noBreakHyphen/>
      </w:r>
      <w:r w:rsidRPr="000D625A">
        <w:rPr>
          <w:lang w:val="nl-NL"/>
        </w:rPr>
        <w:t>antistoffen na behandeling met follitropine</w:t>
      </w:r>
      <w:r w:rsidR="006615B4">
        <w:rPr>
          <w:szCs w:val="22"/>
          <w:lang w:val="nl-NL"/>
        </w:rPr>
        <w:t>-</w:t>
      </w:r>
      <w:r w:rsidRPr="000D625A">
        <w:rPr>
          <w:lang w:val="nl-NL"/>
        </w:rPr>
        <w:t>alfa. Bij alle patiënten met anti</w:t>
      </w:r>
      <w:r w:rsidR="0085730C" w:rsidRPr="000D625A">
        <w:rPr>
          <w:lang w:val="nl-NL"/>
        </w:rPr>
        <w:noBreakHyphen/>
      </w:r>
      <w:r w:rsidRPr="000D625A">
        <w:rPr>
          <w:lang w:val="nl-NL"/>
        </w:rPr>
        <w:t>FSH</w:t>
      </w:r>
      <w:r w:rsidR="0085730C" w:rsidRPr="000D625A">
        <w:rPr>
          <w:lang w:val="nl-NL"/>
        </w:rPr>
        <w:noBreakHyphen/>
      </w:r>
      <w:r w:rsidRPr="000D625A">
        <w:rPr>
          <w:lang w:val="nl-NL"/>
        </w:rPr>
        <w:t xml:space="preserve">antistoffen waren de titers niet aantoonbaar of zeer laag en zonder neutraliserend vermogen. Herhaalde behandeling </w:t>
      </w:r>
      <w:r w:rsidR="00CF2613" w:rsidRPr="000D625A">
        <w:rPr>
          <w:lang w:val="nl-NL"/>
        </w:rPr>
        <w:t xml:space="preserve">met REKOVELLE </w:t>
      </w:r>
      <w:r w:rsidRPr="000D625A">
        <w:rPr>
          <w:lang w:val="nl-NL"/>
        </w:rPr>
        <w:t>van patiënten met reeds bestaande of door de behandeling geïnduceerde anti</w:t>
      </w:r>
      <w:r w:rsidR="002E1ACF" w:rsidRPr="000D625A">
        <w:rPr>
          <w:lang w:val="nl-NL"/>
        </w:rPr>
        <w:noBreakHyphen/>
      </w:r>
      <w:r w:rsidRPr="000D625A">
        <w:rPr>
          <w:lang w:val="nl-NL"/>
        </w:rPr>
        <w:t>FSH</w:t>
      </w:r>
      <w:r w:rsidR="002E1ACF" w:rsidRPr="000D625A">
        <w:rPr>
          <w:lang w:val="nl-NL"/>
        </w:rPr>
        <w:noBreakHyphen/>
      </w:r>
      <w:r w:rsidRPr="000D625A">
        <w:rPr>
          <w:lang w:val="nl-NL"/>
        </w:rPr>
        <w:t xml:space="preserve">antistoffen leidde niet tot verhoging van de antistoffentiter, </w:t>
      </w:r>
      <w:r w:rsidR="00CF2613">
        <w:rPr>
          <w:lang w:val="nl-NL"/>
        </w:rPr>
        <w:t>is</w:t>
      </w:r>
      <w:r w:rsidRPr="000D625A">
        <w:rPr>
          <w:lang w:val="nl-NL"/>
        </w:rPr>
        <w:t xml:space="preserve"> niet in verband gebracht met verminderde ovariële respons en induceerde geen immuungerelateerde bijwerkingen.</w:t>
      </w:r>
    </w:p>
    <w:p w:rsidR="002E1ACF" w:rsidRPr="000D625A" w:rsidRDefault="002E1ACF" w:rsidP="00A06FAD">
      <w:pPr>
        <w:rPr>
          <w:lang w:val="nl-NL"/>
        </w:rPr>
      </w:pPr>
    </w:p>
    <w:p w:rsidR="002E1ACF" w:rsidRPr="006008DC" w:rsidRDefault="002E1ACF" w:rsidP="002E1ACF">
      <w:pPr>
        <w:outlineLvl w:val="0"/>
        <w:rPr>
          <w:szCs w:val="22"/>
          <w:lang w:val="nl-NL"/>
        </w:rPr>
      </w:pPr>
      <w:r w:rsidRPr="006008DC">
        <w:rPr>
          <w:szCs w:val="22"/>
          <w:lang w:val="nl-NL"/>
        </w:rPr>
        <w:t xml:space="preserve">Er is geen klinische onderzoekservaring </w:t>
      </w:r>
      <w:r w:rsidRPr="007D307D">
        <w:rPr>
          <w:szCs w:val="22"/>
          <w:lang w:val="nl-NL"/>
        </w:rPr>
        <w:t>met REKOVELLE in het lange GnRH</w:t>
      </w:r>
      <w:r w:rsidRPr="000D625A">
        <w:rPr>
          <w:szCs w:val="22"/>
          <w:lang w:val="nl-NL"/>
        </w:rPr>
        <w:noBreakHyphen/>
      </w:r>
      <w:r w:rsidRPr="006008DC">
        <w:rPr>
          <w:szCs w:val="22"/>
          <w:lang w:val="nl-NL"/>
        </w:rPr>
        <w:t>agonistprotocol.</w:t>
      </w:r>
    </w:p>
    <w:p w:rsidR="00A06FAD" w:rsidRPr="000D625A" w:rsidRDefault="00A06FAD" w:rsidP="00A06FAD">
      <w:pPr>
        <w:outlineLvl w:val="0"/>
        <w:rPr>
          <w:i/>
          <w:sz w:val="20"/>
          <w:szCs w:val="22"/>
          <w:lang w:val="nl-NL"/>
        </w:rPr>
      </w:pPr>
    </w:p>
    <w:p w:rsidR="00812D16" w:rsidRPr="000D625A" w:rsidRDefault="00812D16" w:rsidP="009E06FE">
      <w:pPr>
        <w:keepNext/>
        <w:keepLines/>
        <w:spacing w:line="240" w:lineRule="auto"/>
        <w:ind w:left="567" w:hanging="567"/>
        <w:outlineLvl w:val="0"/>
        <w:rPr>
          <w:b/>
          <w:szCs w:val="22"/>
          <w:lang w:val="nl-NL"/>
        </w:rPr>
      </w:pPr>
      <w:r w:rsidRPr="000D625A">
        <w:rPr>
          <w:b/>
          <w:bCs/>
          <w:szCs w:val="22"/>
          <w:lang w:val="nl-NL"/>
        </w:rPr>
        <w:lastRenderedPageBreak/>
        <w:t>5.2</w:t>
      </w:r>
      <w:r w:rsidRPr="000D625A">
        <w:rPr>
          <w:b/>
          <w:bCs/>
          <w:szCs w:val="22"/>
          <w:lang w:val="nl-NL"/>
        </w:rPr>
        <w:tab/>
        <w:t>Farmacokinetische eigenschappen</w:t>
      </w:r>
    </w:p>
    <w:p w:rsidR="00812D16" w:rsidRPr="000D625A" w:rsidRDefault="00812D16" w:rsidP="009E06FE">
      <w:pPr>
        <w:keepNext/>
        <w:keepLines/>
        <w:spacing w:line="240" w:lineRule="auto"/>
        <w:ind w:left="567" w:hanging="567"/>
        <w:outlineLvl w:val="0"/>
        <w:rPr>
          <w:b/>
          <w:szCs w:val="22"/>
          <w:lang w:val="nl-NL"/>
        </w:rPr>
      </w:pPr>
    </w:p>
    <w:p w:rsidR="00A06FAD" w:rsidRPr="000D625A" w:rsidRDefault="00A06FAD" w:rsidP="009E06FE">
      <w:pPr>
        <w:keepNext/>
        <w:keepLines/>
        <w:tabs>
          <w:tab w:val="clear" w:pos="567"/>
        </w:tabs>
        <w:suppressAutoHyphens/>
        <w:spacing w:line="240" w:lineRule="auto"/>
        <w:rPr>
          <w:iCs/>
          <w:szCs w:val="22"/>
          <w:lang w:val="nl-NL"/>
        </w:rPr>
      </w:pPr>
      <w:r w:rsidRPr="000D625A">
        <w:rPr>
          <w:szCs w:val="22"/>
          <w:lang w:val="nl-NL"/>
        </w:rPr>
        <w:t>Het farmacokinetische profiel van follitropine</w:t>
      </w:r>
      <w:r w:rsidR="006615B4">
        <w:rPr>
          <w:szCs w:val="22"/>
          <w:lang w:val="nl-NL"/>
        </w:rPr>
        <w:t>-</w:t>
      </w:r>
      <w:r w:rsidRPr="000D625A">
        <w:rPr>
          <w:szCs w:val="22"/>
          <w:lang w:val="nl-NL"/>
        </w:rPr>
        <w:t>delta is onderzocht bij gezonde vrouwelijke proefpersonen en IVF/ICSI</w:t>
      </w:r>
      <w:r w:rsidR="00B41519" w:rsidRPr="000D625A">
        <w:rPr>
          <w:szCs w:val="22"/>
          <w:lang w:val="nl-NL"/>
        </w:rPr>
        <w:noBreakHyphen/>
      </w:r>
      <w:r w:rsidRPr="000D625A">
        <w:rPr>
          <w:szCs w:val="22"/>
          <w:lang w:val="nl-NL"/>
        </w:rPr>
        <w:t>patiënten die gecontroleerde ovariumstimulatie (COS) ondergingen. Na herhaalde dagelijkse subcutane toediening bereikt REKOVELLE binnen 6 tot</w:t>
      </w:r>
      <w:r w:rsidR="002E1ACF" w:rsidRPr="000D625A">
        <w:rPr>
          <w:szCs w:val="22"/>
          <w:lang w:val="nl-NL"/>
        </w:rPr>
        <w:t> </w:t>
      </w:r>
      <w:r w:rsidRPr="000D625A">
        <w:rPr>
          <w:szCs w:val="22"/>
          <w:lang w:val="nl-NL"/>
        </w:rPr>
        <w:t>7 dagen een steady</w:t>
      </w:r>
      <w:r w:rsidR="00B41519" w:rsidRPr="000D625A">
        <w:rPr>
          <w:szCs w:val="22"/>
          <w:lang w:val="nl-NL"/>
        </w:rPr>
        <w:noBreakHyphen/>
      </w:r>
      <w:r w:rsidRPr="000D625A">
        <w:rPr>
          <w:szCs w:val="22"/>
          <w:lang w:val="nl-NL"/>
        </w:rPr>
        <w:t>state, met een concentratie die driemaal zo hoog is vergeleken met de concentratie na de eerste dosis. De spiegels van circulerende follitropine</w:t>
      </w:r>
      <w:r w:rsidR="006615B4">
        <w:rPr>
          <w:szCs w:val="22"/>
          <w:lang w:val="nl-NL"/>
        </w:rPr>
        <w:t>-</w:t>
      </w:r>
      <w:r w:rsidRPr="000D625A">
        <w:rPr>
          <w:szCs w:val="22"/>
          <w:lang w:val="nl-NL"/>
        </w:rPr>
        <w:t>delta zijn omgekeerd evenredig met het lichaamsgewicht, wat geïndividualiseerde dosering op basis van lichaamsgewicht ondersteunt. Follitropine</w:t>
      </w:r>
      <w:r w:rsidR="006615B4">
        <w:rPr>
          <w:szCs w:val="22"/>
          <w:lang w:val="nl-NL"/>
        </w:rPr>
        <w:t>-</w:t>
      </w:r>
      <w:r w:rsidRPr="000D625A">
        <w:rPr>
          <w:szCs w:val="22"/>
          <w:lang w:val="nl-NL"/>
        </w:rPr>
        <w:t>delta leidt tot een grotere blootstelling dan follitropine</w:t>
      </w:r>
      <w:r w:rsidR="006615B4">
        <w:rPr>
          <w:szCs w:val="22"/>
          <w:lang w:val="nl-NL"/>
        </w:rPr>
        <w:t>-</w:t>
      </w:r>
      <w:r w:rsidRPr="000D625A">
        <w:rPr>
          <w:szCs w:val="22"/>
          <w:lang w:val="nl-NL"/>
        </w:rPr>
        <w:t>alfa.</w:t>
      </w:r>
    </w:p>
    <w:p w:rsidR="00A06FAD" w:rsidRPr="000D625A" w:rsidRDefault="00A06FAD" w:rsidP="00A06FAD">
      <w:pPr>
        <w:keepLines/>
        <w:tabs>
          <w:tab w:val="clear" w:pos="567"/>
        </w:tabs>
        <w:suppressAutoHyphens/>
        <w:spacing w:line="240" w:lineRule="auto"/>
        <w:rPr>
          <w:iCs/>
          <w:szCs w:val="22"/>
          <w:lang w:val="nl-NL"/>
        </w:rPr>
      </w:pPr>
    </w:p>
    <w:p w:rsidR="00A06FAD" w:rsidRPr="000D625A" w:rsidRDefault="00A06FAD" w:rsidP="006008DC">
      <w:pPr>
        <w:keepLines/>
        <w:tabs>
          <w:tab w:val="clear" w:pos="567"/>
        </w:tabs>
        <w:suppressAutoHyphens/>
        <w:spacing w:line="264" w:lineRule="auto"/>
        <w:rPr>
          <w:szCs w:val="24"/>
          <w:u w:val="single"/>
          <w:lang w:val="nl-NL"/>
        </w:rPr>
      </w:pPr>
      <w:r w:rsidRPr="000D625A">
        <w:rPr>
          <w:szCs w:val="24"/>
          <w:u w:val="single"/>
          <w:lang w:val="nl-NL"/>
        </w:rPr>
        <w:t xml:space="preserve">Absorptie </w:t>
      </w:r>
    </w:p>
    <w:p w:rsidR="00A06FAD" w:rsidRPr="000D625A" w:rsidRDefault="00A06FAD" w:rsidP="00A06FAD">
      <w:pPr>
        <w:keepLines/>
        <w:tabs>
          <w:tab w:val="clear" w:pos="567"/>
        </w:tabs>
        <w:suppressAutoHyphens/>
        <w:spacing w:line="240" w:lineRule="auto"/>
        <w:rPr>
          <w:iCs/>
          <w:szCs w:val="22"/>
          <w:lang w:val="nl-NL"/>
        </w:rPr>
      </w:pPr>
      <w:r w:rsidRPr="000D625A">
        <w:rPr>
          <w:szCs w:val="22"/>
          <w:lang w:val="nl-NL"/>
        </w:rPr>
        <w:t>Na dagelijkse subcutane toediening van REKOVELLE bedraagt de tijd tot maximale serumconcentratie 10</w:t>
      </w:r>
      <w:r w:rsidR="002E1ACF" w:rsidRPr="000D625A">
        <w:rPr>
          <w:szCs w:val="22"/>
          <w:lang w:val="nl-NL"/>
        </w:rPr>
        <w:t> </w:t>
      </w:r>
      <w:r w:rsidRPr="000D625A">
        <w:rPr>
          <w:szCs w:val="22"/>
          <w:lang w:val="nl-NL"/>
        </w:rPr>
        <w:t>uur. De absolute biologische beschikbaarheid is ongeveer 64%.</w:t>
      </w:r>
    </w:p>
    <w:p w:rsidR="00A06FAD" w:rsidRPr="000D625A" w:rsidRDefault="00A06FAD" w:rsidP="00A06FAD">
      <w:pPr>
        <w:keepLines/>
        <w:tabs>
          <w:tab w:val="clear" w:pos="567"/>
        </w:tabs>
        <w:suppressAutoHyphens/>
        <w:spacing w:line="240" w:lineRule="auto"/>
        <w:rPr>
          <w:iCs/>
          <w:szCs w:val="22"/>
          <w:lang w:val="nl-NL"/>
        </w:rPr>
      </w:pPr>
    </w:p>
    <w:p w:rsidR="00A06FAD" w:rsidRPr="000D625A" w:rsidRDefault="00A06FAD" w:rsidP="0072565A">
      <w:pPr>
        <w:keepNext/>
        <w:tabs>
          <w:tab w:val="clear" w:pos="567"/>
        </w:tabs>
        <w:suppressAutoHyphens/>
        <w:spacing w:line="264" w:lineRule="auto"/>
        <w:rPr>
          <w:szCs w:val="24"/>
          <w:u w:val="single"/>
          <w:lang w:val="nl-NL"/>
        </w:rPr>
      </w:pPr>
      <w:r w:rsidRPr="000D625A">
        <w:rPr>
          <w:szCs w:val="24"/>
          <w:u w:val="single"/>
          <w:lang w:val="nl-NL"/>
        </w:rPr>
        <w:t>Distributie</w:t>
      </w:r>
    </w:p>
    <w:p w:rsidR="00A06FAD" w:rsidRPr="000D625A" w:rsidRDefault="00A06FAD" w:rsidP="00A06FAD">
      <w:pPr>
        <w:keepLines/>
        <w:tabs>
          <w:tab w:val="clear" w:pos="567"/>
        </w:tabs>
        <w:suppressAutoHyphens/>
        <w:spacing w:line="240" w:lineRule="auto"/>
        <w:rPr>
          <w:iCs/>
          <w:szCs w:val="22"/>
          <w:lang w:val="nl-NL"/>
        </w:rPr>
      </w:pPr>
      <w:r w:rsidRPr="000D625A">
        <w:rPr>
          <w:szCs w:val="22"/>
          <w:lang w:val="nl-NL"/>
        </w:rPr>
        <w:t xml:space="preserve">Het </w:t>
      </w:r>
      <w:r w:rsidR="002E1ACF" w:rsidRPr="000D625A">
        <w:rPr>
          <w:szCs w:val="22"/>
          <w:lang w:val="nl-NL"/>
        </w:rPr>
        <w:t xml:space="preserve">schijnbare </w:t>
      </w:r>
      <w:r w:rsidRPr="000D625A">
        <w:rPr>
          <w:szCs w:val="22"/>
          <w:lang w:val="nl-NL"/>
        </w:rPr>
        <w:t xml:space="preserve">distributievolume is ongeveer </w:t>
      </w:r>
      <w:r w:rsidR="002E1ACF" w:rsidRPr="000D625A">
        <w:rPr>
          <w:szCs w:val="22"/>
          <w:lang w:val="nl-NL"/>
        </w:rPr>
        <w:t xml:space="preserve">25 l na subcutane toediening en het distributievolume </w:t>
      </w:r>
      <w:r w:rsidR="00FA1F23">
        <w:rPr>
          <w:szCs w:val="22"/>
          <w:lang w:val="nl-NL"/>
        </w:rPr>
        <w:t xml:space="preserve">bij </w:t>
      </w:r>
      <w:r w:rsidR="00FA1F23" w:rsidRPr="000D625A">
        <w:rPr>
          <w:szCs w:val="22"/>
          <w:lang w:val="nl-NL"/>
        </w:rPr>
        <w:t>steady</w:t>
      </w:r>
      <w:r w:rsidR="00FA1F23" w:rsidRPr="000D625A">
        <w:rPr>
          <w:szCs w:val="22"/>
          <w:lang w:val="nl-NL"/>
        </w:rPr>
        <w:noBreakHyphen/>
        <w:t xml:space="preserve">state </w:t>
      </w:r>
      <w:r w:rsidR="002E1ACF" w:rsidRPr="000D625A">
        <w:rPr>
          <w:szCs w:val="22"/>
          <w:lang w:val="nl-NL"/>
        </w:rPr>
        <w:t xml:space="preserve">is </w:t>
      </w:r>
      <w:r w:rsidRPr="000D625A">
        <w:rPr>
          <w:szCs w:val="22"/>
          <w:lang w:val="nl-NL"/>
        </w:rPr>
        <w:t>9</w:t>
      </w:r>
      <w:r w:rsidR="002E1ACF" w:rsidRPr="000D625A">
        <w:rPr>
          <w:szCs w:val="22"/>
          <w:lang w:val="nl-NL"/>
        </w:rPr>
        <w:t> </w:t>
      </w:r>
      <w:r w:rsidRPr="000D625A">
        <w:rPr>
          <w:szCs w:val="22"/>
          <w:lang w:val="nl-NL"/>
        </w:rPr>
        <w:t>l</w:t>
      </w:r>
      <w:r w:rsidR="002E1ACF" w:rsidRPr="000D625A">
        <w:rPr>
          <w:szCs w:val="22"/>
          <w:lang w:val="nl-NL"/>
        </w:rPr>
        <w:t xml:space="preserve"> na intraveneuze toediening</w:t>
      </w:r>
      <w:r w:rsidRPr="000D625A">
        <w:rPr>
          <w:szCs w:val="22"/>
          <w:lang w:val="nl-NL"/>
        </w:rPr>
        <w:t>. Binnen het therapeutische dosisbereik neemt de blootstelling aan follitropine</w:t>
      </w:r>
      <w:r w:rsidR="006615B4">
        <w:rPr>
          <w:szCs w:val="22"/>
          <w:lang w:val="nl-NL"/>
        </w:rPr>
        <w:t>-</w:t>
      </w:r>
      <w:r w:rsidRPr="000D625A">
        <w:rPr>
          <w:szCs w:val="22"/>
          <w:lang w:val="nl-NL"/>
        </w:rPr>
        <w:t xml:space="preserve">delta evenredig toe met de dosis. </w:t>
      </w:r>
    </w:p>
    <w:p w:rsidR="00A06FAD" w:rsidRPr="000D625A" w:rsidRDefault="00A06FAD" w:rsidP="00A06FAD">
      <w:pPr>
        <w:keepLines/>
        <w:tabs>
          <w:tab w:val="clear" w:pos="567"/>
        </w:tabs>
        <w:suppressAutoHyphens/>
        <w:spacing w:line="240" w:lineRule="auto"/>
        <w:rPr>
          <w:iCs/>
          <w:szCs w:val="22"/>
          <w:lang w:val="nl-NL"/>
        </w:rPr>
      </w:pPr>
    </w:p>
    <w:p w:rsidR="00A06FAD" w:rsidRPr="000D625A" w:rsidRDefault="00A06FAD" w:rsidP="006008DC">
      <w:pPr>
        <w:keepLines/>
        <w:tabs>
          <w:tab w:val="clear" w:pos="567"/>
        </w:tabs>
        <w:suppressAutoHyphens/>
        <w:spacing w:line="264" w:lineRule="auto"/>
        <w:rPr>
          <w:szCs w:val="24"/>
          <w:u w:val="single"/>
          <w:lang w:val="nl-NL"/>
        </w:rPr>
      </w:pPr>
      <w:r w:rsidRPr="000D625A">
        <w:rPr>
          <w:szCs w:val="24"/>
          <w:u w:val="single"/>
          <w:lang w:val="nl-NL"/>
        </w:rPr>
        <w:t>Eliminatie</w:t>
      </w:r>
    </w:p>
    <w:p w:rsidR="00812D16" w:rsidRPr="000D625A" w:rsidRDefault="00A06FAD" w:rsidP="006008DC">
      <w:pPr>
        <w:keepLines/>
        <w:numPr>
          <w:ilvl w:val="12"/>
          <w:numId w:val="0"/>
        </w:numPr>
        <w:spacing w:line="240" w:lineRule="auto"/>
        <w:ind w:right="-2"/>
        <w:rPr>
          <w:szCs w:val="24"/>
          <w:lang w:val="nl-NL"/>
        </w:rPr>
      </w:pPr>
      <w:r w:rsidRPr="000D625A">
        <w:rPr>
          <w:szCs w:val="22"/>
          <w:lang w:val="nl-NL"/>
        </w:rPr>
        <w:t xml:space="preserve">Na </w:t>
      </w:r>
      <w:r w:rsidR="002E1ACF" w:rsidRPr="000D625A">
        <w:rPr>
          <w:szCs w:val="22"/>
          <w:lang w:val="nl-NL"/>
        </w:rPr>
        <w:t xml:space="preserve">subcutane </w:t>
      </w:r>
      <w:r w:rsidRPr="000D625A">
        <w:rPr>
          <w:szCs w:val="22"/>
          <w:lang w:val="nl-NL"/>
        </w:rPr>
        <w:t xml:space="preserve">toediening is de </w:t>
      </w:r>
      <w:r w:rsidR="002E1ACF" w:rsidRPr="000D625A">
        <w:rPr>
          <w:szCs w:val="22"/>
          <w:lang w:val="nl-NL"/>
        </w:rPr>
        <w:t xml:space="preserve">schijnbare </w:t>
      </w:r>
      <w:r w:rsidRPr="000D625A">
        <w:rPr>
          <w:szCs w:val="22"/>
          <w:lang w:val="nl-NL"/>
        </w:rPr>
        <w:t>klaring van follitropine</w:t>
      </w:r>
      <w:r w:rsidR="006615B4">
        <w:rPr>
          <w:szCs w:val="22"/>
          <w:lang w:val="nl-NL"/>
        </w:rPr>
        <w:t>-</w:t>
      </w:r>
      <w:r w:rsidRPr="000D625A">
        <w:rPr>
          <w:szCs w:val="22"/>
          <w:lang w:val="nl-NL"/>
        </w:rPr>
        <w:t>delta</w:t>
      </w:r>
      <w:r w:rsidR="002E1ACF" w:rsidRPr="000D625A">
        <w:rPr>
          <w:szCs w:val="22"/>
          <w:lang w:val="nl-NL"/>
        </w:rPr>
        <w:t xml:space="preserve"> 0,6 l/u en na intraveneuze toediening is de klaring</w:t>
      </w:r>
      <w:r w:rsidRPr="000D625A">
        <w:rPr>
          <w:szCs w:val="22"/>
          <w:lang w:val="nl-NL"/>
        </w:rPr>
        <w:t xml:space="preserve"> 0,3 l/u. De terminale eliminatiehalfwaardetijd </w:t>
      </w:r>
      <w:r w:rsidR="00CF2613">
        <w:rPr>
          <w:szCs w:val="22"/>
          <w:lang w:val="nl-NL"/>
        </w:rPr>
        <w:t>na één</w:t>
      </w:r>
      <w:r w:rsidRPr="000D625A">
        <w:rPr>
          <w:szCs w:val="22"/>
          <w:lang w:val="nl-NL"/>
        </w:rPr>
        <w:t xml:space="preserve"> subcutane toediening is 40 uur en na meerdere subcutane toedieningen 28 uur. </w:t>
      </w:r>
      <w:r w:rsidR="00C85227" w:rsidRPr="00C85227">
        <w:rPr>
          <w:szCs w:val="22"/>
          <w:lang w:val="nl-NL"/>
        </w:rPr>
        <w:t>De schijnbare klaring van follitropine</w:t>
      </w:r>
      <w:r w:rsidR="006615B4">
        <w:rPr>
          <w:szCs w:val="22"/>
          <w:lang w:val="nl-NL"/>
        </w:rPr>
        <w:t>-</w:t>
      </w:r>
      <w:r w:rsidR="00C85227" w:rsidRPr="00C85227">
        <w:rPr>
          <w:szCs w:val="22"/>
          <w:lang w:val="nl-NL"/>
        </w:rPr>
        <w:t>de</w:t>
      </w:r>
      <w:r w:rsidR="009A2C2D">
        <w:rPr>
          <w:szCs w:val="22"/>
          <w:lang w:val="nl-NL"/>
        </w:rPr>
        <w:t>lta is laag, dat wil zeggen 0,6 </w:t>
      </w:r>
      <w:r w:rsidR="00C85227" w:rsidRPr="00C85227">
        <w:rPr>
          <w:szCs w:val="22"/>
          <w:lang w:val="nl-NL"/>
        </w:rPr>
        <w:t xml:space="preserve">l/u na meerdere subcutane toedieningen, </w:t>
      </w:r>
      <w:r w:rsidR="00CF2613">
        <w:rPr>
          <w:szCs w:val="22"/>
          <w:lang w:val="nl-NL"/>
        </w:rPr>
        <w:t>wat</w:t>
      </w:r>
      <w:r w:rsidR="00C85227" w:rsidRPr="00C85227">
        <w:rPr>
          <w:szCs w:val="22"/>
          <w:lang w:val="nl-NL"/>
        </w:rPr>
        <w:t xml:space="preserve"> leidt tot hoge blootstelling. </w:t>
      </w:r>
      <w:r w:rsidRPr="000D625A">
        <w:rPr>
          <w:szCs w:val="22"/>
          <w:lang w:val="nl-NL"/>
        </w:rPr>
        <w:t>De eliminatie van follitropine</w:t>
      </w:r>
      <w:r w:rsidR="006615B4">
        <w:rPr>
          <w:szCs w:val="22"/>
          <w:lang w:val="nl-NL"/>
        </w:rPr>
        <w:t>-</w:t>
      </w:r>
      <w:r w:rsidRPr="000D625A">
        <w:rPr>
          <w:szCs w:val="22"/>
          <w:lang w:val="nl-NL"/>
        </w:rPr>
        <w:t>delta</w:t>
      </w:r>
      <w:r w:rsidRPr="000D625A">
        <w:rPr>
          <w:szCs w:val="24"/>
          <w:lang w:val="nl-NL"/>
        </w:rPr>
        <w:t xml:space="preserve"> is naar verwachting vergelijkbaar met die van andere follitropine</w:t>
      </w:r>
      <w:r w:rsidR="00F52B55">
        <w:rPr>
          <w:szCs w:val="24"/>
          <w:lang w:val="nl-NL"/>
        </w:rPr>
        <w:t>s</w:t>
      </w:r>
      <w:r w:rsidRPr="000D625A">
        <w:rPr>
          <w:szCs w:val="24"/>
          <w:lang w:val="nl-NL"/>
        </w:rPr>
        <w:t xml:space="preserve">, d.w.z. hoofdzakelijk door de nieren. De fractie </w:t>
      </w:r>
      <w:r w:rsidRPr="000D625A">
        <w:rPr>
          <w:szCs w:val="22"/>
          <w:lang w:val="nl-NL"/>
        </w:rPr>
        <w:t>follitropine</w:t>
      </w:r>
      <w:r w:rsidR="006615B4">
        <w:rPr>
          <w:szCs w:val="22"/>
          <w:lang w:val="nl-NL"/>
        </w:rPr>
        <w:t>-</w:t>
      </w:r>
      <w:r w:rsidRPr="000D625A">
        <w:rPr>
          <w:szCs w:val="22"/>
          <w:lang w:val="nl-NL"/>
        </w:rPr>
        <w:t>delta</w:t>
      </w:r>
      <w:r w:rsidRPr="000D625A">
        <w:rPr>
          <w:szCs w:val="24"/>
          <w:lang w:val="nl-NL"/>
        </w:rPr>
        <w:t xml:space="preserve"> die onveranderd </w:t>
      </w:r>
      <w:r w:rsidR="00FA1F23">
        <w:rPr>
          <w:szCs w:val="24"/>
          <w:lang w:val="nl-NL"/>
        </w:rPr>
        <w:t>in</w:t>
      </w:r>
      <w:r w:rsidRPr="000D625A">
        <w:rPr>
          <w:szCs w:val="24"/>
          <w:lang w:val="nl-NL"/>
        </w:rPr>
        <w:t xml:space="preserve"> de urine wordt uitgescheiden, werd geschat op 9%.</w:t>
      </w:r>
    </w:p>
    <w:p w:rsidR="00841F8C" w:rsidRPr="00A7195A" w:rsidRDefault="00841F8C" w:rsidP="00841F8C">
      <w:pPr>
        <w:numPr>
          <w:ilvl w:val="12"/>
          <w:numId w:val="0"/>
        </w:numPr>
        <w:spacing w:line="240" w:lineRule="auto"/>
        <w:ind w:right="-2"/>
        <w:rPr>
          <w:lang w:val="nl-NL"/>
        </w:rPr>
      </w:pPr>
    </w:p>
    <w:p w:rsidR="00812D16" w:rsidRPr="000D625A" w:rsidRDefault="00812D16" w:rsidP="009E06FE">
      <w:pPr>
        <w:keepNext/>
        <w:keepLines/>
        <w:spacing w:line="240" w:lineRule="auto"/>
        <w:ind w:left="567" w:hanging="567"/>
        <w:outlineLvl w:val="0"/>
        <w:rPr>
          <w:szCs w:val="22"/>
          <w:lang w:val="nl-NL"/>
        </w:rPr>
      </w:pPr>
      <w:r w:rsidRPr="000D625A">
        <w:rPr>
          <w:b/>
          <w:bCs/>
          <w:szCs w:val="22"/>
          <w:lang w:val="nl-NL"/>
        </w:rPr>
        <w:t>5.3</w:t>
      </w:r>
      <w:r w:rsidRPr="000D625A">
        <w:rPr>
          <w:b/>
          <w:bCs/>
          <w:szCs w:val="22"/>
          <w:lang w:val="nl-NL"/>
        </w:rPr>
        <w:tab/>
        <w:t>Gegevens uit het preklinisch veiligheidsonderzoek</w:t>
      </w:r>
    </w:p>
    <w:p w:rsidR="00812D16" w:rsidRPr="000D625A" w:rsidRDefault="00812D16" w:rsidP="009E06FE">
      <w:pPr>
        <w:keepNext/>
        <w:keepLines/>
        <w:spacing w:line="240" w:lineRule="auto"/>
        <w:rPr>
          <w:szCs w:val="22"/>
          <w:lang w:val="nl-NL"/>
        </w:rPr>
      </w:pPr>
    </w:p>
    <w:p w:rsidR="00FD17E2" w:rsidRPr="000D625A" w:rsidRDefault="00FD17E2" w:rsidP="009E06FE">
      <w:pPr>
        <w:keepNext/>
        <w:keepLines/>
        <w:rPr>
          <w:iCs/>
          <w:szCs w:val="22"/>
          <w:lang w:val="nl-NL"/>
        </w:rPr>
      </w:pPr>
      <w:r w:rsidRPr="000D625A">
        <w:rPr>
          <w:szCs w:val="22"/>
          <w:lang w:val="nl-NL"/>
        </w:rPr>
        <w:t>Niet</w:t>
      </w:r>
      <w:r w:rsidR="00B41519" w:rsidRPr="000D625A">
        <w:rPr>
          <w:szCs w:val="22"/>
          <w:lang w:val="nl-NL"/>
        </w:rPr>
        <w:noBreakHyphen/>
      </w:r>
      <w:r w:rsidRPr="000D625A">
        <w:rPr>
          <w:szCs w:val="22"/>
          <w:lang w:val="nl-NL"/>
        </w:rPr>
        <w:t>klinische gegevens duiden niet op een speciaal risico voor mensen. Deze gegevens zijn afkomstig van conventione</w:t>
      </w:r>
      <w:r w:rsidR="00404396">
        <w:rPr>
          <w:szCs w:val="22"/>
          <w:lang w:val="nl-NL"/>
        </w:rPr>
        <w:t>e</w:t>
      </w:r>
      <w:r w:rsidRPr="000D625A">
        <w:rPr>
          <w:szCs w:val="22"/>
          <w:lang w:val="nl-NL"/>
        </w:rPr>
        <w:t xml:space="preserve">l </w:t>
      </w:r>
      <w:r w:rsidR="00404396">
        <w:rPr>
          <w:szCs w:val="22"/>
          <w:lang w:val="nl-NL"/>
        </w:rPr>
        <w:t>onderzoek</w:t>
      </w:r>
      <w:r w:rsidRPr="000D625A">
        <w:rPr>
          <w:szCs w:val="22"/>
          <w:lang w:val="nl-NL"/>
        </w:rPr>
        <w:t xml:space="preserve"> op het gebied van veiligheidsfarmacologie, toxiciteit bij herhaalde dosering en lokale tolerantie. Een overdosis follitropine</w:t>
      </w:r>
      <w:r w:rsidR="006615B4">
        <w:rPr>
          <w:szCs w:val="22"/>
          <w:lang w:val="nl-NL"/>
        </w:rPr>
        <w:t>-</w:t>
      </w:r>
      <w:r w:rsidRPr="000D625A">
        <w:rPr>
          <w:szCs w:val="22"/>
          <w:lang w:val="nl-NL"/>
        </w:rPr>
        <w:t xml:space="preserve">delta resulteerde in een farmacologische of </w:t>
      </w:r>
      <w:r w:rsidR="000B25E5">
        <w:rPr>
          <w:szCs w:val="22"/>
          <w:lang w:val="nl-NL"/>
        </w:rPr>
        <w:t>overmatige</w:t>
      </w:r>
      <w:r w:rsidRPr="000D625A">
        <w:rPr>
          <w:szCs w:val="22"/>
          <w:lang w:val="nl-NL"/>
        </w:rPr>
        <w:t xml:space="preserve"> farmacologische werking. Toegediend in doses ≥0,8 </w:t>
      </w:r>
      <w:r w:rsidR="002E1ACF" w:rsidRPr="000D625A">
        <w:rPr>
          <w:szCs w:val="22"/>
          <w:lang w:val="nl-NL"/>
        </w:rPr>
        <w:t>microgram</w:t>
      </w:r>
      <w:r w:rsidRPr="000D625A">
        <w:rPr>
          <w:szCs w:val="22"/>
          <w:lang w:val="nl-NL"/>
        </w:rPr>
        <w:t>/kg/dag, d.w.z. meer dan de aanbevolen maximumdosis voor mensen, had follitropine</w:t>
      </w:r>
      <w:r w:rsidR="006615B4">
        <w:rPr>
          <w:szCs w:val="22"/>
          <w:lang w:val="nl-NL"/>
        </w:rPr>
        <w:t>-</w:t>
      </w:r>
      <w:r w:rsidRPr="000D625A">
        <w:rPr>
          <w:szCs w:val="22"/>
          <w:lang w:val="nl-NL"/>
        </w:rPr>
        <w:t>delta een negatief effect op de vruchtbaarheid en vroege embryonale ontwikkeling bij ratten. De relevantie van deze bevindingen voor klinisch gebruik van REKOVELLE is beperkt.</w:t>
      </w:r>
    </w:p>
    <w:p w:rsidR="00812D16" w:rsidRPr="000D625A" w:rsidRDefault="00812D16" w:rsidP="00204AAB">
      <w:pPr>
        <w:spacing w:line="240" w:lineRule="auto"/>
        <w:rPr>
          <w:szCs w:val="22"/>
          <w:lang w:val="nl-NL"/>
        </w:rPr>
      </w:pPr>
    </w:p>
    <w:p w:rsidR="00812D16" w:rsidRPr="000D625A" w:rsidRDefault="00812D16" w:rsidP="00204AAB">
      <w:pPr>
        <w:spacing w:line="240" w:lineRule="auto"/>
        <w:rPr>
          <w:szCs w:val="22"/>
          <w:lang w:val="nl-NL"/>
        </w:rPr>
      </w:pPr>
    </w:p>
    <w:p w:rsidR="00812D16" w:rsidRPr="000D625A" w:rsidRDefault="00812D16" w:rsidP="009E06FE">
      <w:pPr>
        <w:keepNext/>
        <w:keepLines/>
        <w:suppressAutoHyphens/>
        <w:spacing w:line="240" w:lineRule="auto"/>
        <w:ind w:left="567" w:hanging="567"/>
        <w:rPr>
          <w:b/>
          <w:szCs w:val="22"/>
          <w:lang w:val="nl-NL"/>
        </w:rPr>
      </w:pPr>
      <w:r w:rsidRPr="000D625A">
        <w:rPr>
          <w:b/>
          <w:bCs/>
          <w:szCs w:val="22"/>
          <w:lang w:val="nl-NL"/>
        </w:rPr>
        <w:t>6.</w:t>
      </w:r>
      <w:r w:rsidRPr="000D625A">
        <w:rPr>
          <w:b/>
          <w:bCs/>
          <w:szCs w:val="22"/>
          <w:lang w:val="nl-NL"/>
        </w:rPr>
        <w:tab/>
        <w:t>FARMACEUTISCHE GEGEVENS</w:t>
      </w:r>
    </w:p>
    <w:p w:rsidR="00812D16" w:rsidRPr="000D625A" w:rsidRDefault="00812D16" w:rsidP="009E06FE">
      <w:pPr>
        <w:keepNext/>
        <w:keepLines/>
        <w:spacing w:line="240" w:lineRule="auto"/>
        <w:rPr>
          <w:szCs w:val="22"/>
          <w:lang w:val="nl-NL"/>
        </w:rPr>
      </w:pPr>
    </w:p>
    <w:p w:rsidR="00812D16" w:rsidRPr="000D625A" w:rsidRDefault="00812D16" w:rsidP="009E06FE">
      <w:pPr>
        <w:keepNext/>
        <w:keepLines/>
        <w:spacing w:line="240" w:lineRule="auto"/>
        <w:ind w:left="567" w:hanging="567"/>
        <w:outlineLvl w:val="0"/>
        <w:rPr>
          <w:szCs w:val="22"/>
          <w:lang w:val="nl-NL"/>
        </w:rPr>
      </w:pPr>
      <w:r w:rsidRPr="000D625A">
        <w:rPr>
          <w:b/>
          <w:bCs/>
          <w:szCs w:val="22"/>
          <w:lang w:val="nl-NL"/>
        </w:rPr>
        <w:t>6.1</w:t>
      </w:r>
      <w:r w:rsidRPr="000D625A">
        <w:rPr>
          <w:b/>
          <w:bCs/>
          <w:szCs w:val="22"/>
          <w:lang w:val="nl-NL"/>
        </w:rPr>
        <w:tab/>
        <w:t>Lijst van hulpstoffen</w:t>
      </w:r>
    </w:p>
    <w:p w:rsidR="00812D16" w:rsidRPr="000D625A" w:rsidRDefault="00812D16" w:rsidP="009E06FE">
      <w:pPr>
        <w:keepNext/>
        <w:keepLines/>
        <w:spacing w:line="240" w:lineRule="auto"/>
        <w:rPr>
          <w:i/>
          <w:szCs w:val="22"/>
          <w:lang w:val="nl-NL"/>
        </w:rPr>
      </w:pPr>
    </w:p>
    <w:p w:rsidR="00525ED6" w:rsidRPr="000D625A" w:rsidRDefault="00525ED6" w:rsidP="009E06FE">
      <w:pPr>
        <w:keepNext/>
        <w:keepLines/>
        <w:spacing w:line="240" w:lineRule="auto"/>
        <w:rPr>
          <w:szCs w:val="22"/>
          <w:lang w:val="nl-NL"/>
        </w:rPr>
      </w:pPr>
      <w:r w:rsidRPr="000D625A">
        <w:rPr>
          <w:szCs w:val="22"/>
          <w:lang w:val="nl-NL"/>
        </w:rPr>
        <w:t>Fenol</w:t>
      </w:r>
    </w:p>
    <w:p w:rsidR="00525ED6" w:rsidRPr="000D625A" w:rsidRDefault="00525ED6" w:rsidP="00525ED6">
      <w:pPr>
        <w:spacing w:line="240" w:lineRule="auto"/>
        <w:rPr>
          <w:szCs w:val="22"/>
          <w:lang w:val="nl-NL"/>
        </w:rPr>
      </w:pPr>
      <w:r w:rsidRPr="000D625A">
        <w:rPr>
          <w:szCs w:val="22"/>
          <w:lang w:val="nl-NL"/>
        </w:rPr>
        <w:t>Polysorbaat</w:t>
      </w:r>
      <w:r w:rsidR="002E1ACF" w:rsidRPr="000D625A">
        <w:rPr>
          <w:szCs w:val="22"/>
          <w:lang w:val="nl-NL"/>
        </w:rPr>
        <w:t> </w:t>
      </w:r>
      <w:r w:rsidRPr="000D625A">
        <w:rPr>
          <w:szCs w:val="22"/>
          <w:lang w:val="nl-NL"/>
        </w:rPr>
        <w:t>20</w:t>
      </w:r>
    </w:p>
    <w:p w:rsidR="00525ED6" w:rsidRPr="000D625A" w:rsidRDefault="00525ED6" w:rsidP="00525ED6">
      <w:pPr>
        <w:spacing w:line="240" w:lineRule="auto"/>
        <w:rPr>
          <w:szCs w:val="22"/>
          <w:lang w:val="nl-NL"/>
        </w:rPr>
      </w:pPr>
      <w:r w:rsidRPr="000D625A">
        <w:rPr>
          <w:szCs w:val="22"/>
          <w:lang w:val="nl-NL"/>
        </w:rPr>
        <w:t>L</w:t>
      </w:r>
      <w:r w:rsidR="002E1ACF" w:rsidRPr="000D625A">
        <w:rPr>
          <w:szCs w:val="22"/>
          <w:lang w:val="nl-NL"/>
        </w:rPr>
        <w:noBreakHyphen/>
      </w:r>
      <w:r w:rsidRPr="000D625A">
        <w:rPr>
          <w:szCs w:val="22"/>
          <w:lang w:val="nl-NL"/>
        </w:rPr>
        <w:t>methionine</w:t>
      </w:r>
    </w:p>
    <w:p w:rsidR="00525ED6" w:rsidRPr="000D625A" w:rsidRDefault="00525ED6" w:rsidP="00525ED6">
      <w:pPr>
        <w:spacing w:line="240" w:lineRule="auto"/>
        <w:rPr>
          <w:szCs w:val="22"/>
          <w:lang w:val="nl-NL"/>
        </w:rPr>
      </w:pPr>
      <w:r w:rsidRPr="000D625A">
        <w:rPr>
          <w:szCs w:val="22"/>
          <w:lang w:val="nl-NL"/>
        </w:rPr>
        <w:t>Natriumsulfaatdecahydraat</w:t>
      </w:r>
    </w:p>
    <w:p w:rsidR="00525ED6" w:rsidRPr="000D625A" w:rsidRDefault="00525ED6" w:rsidP="00525ED6">
      <w:pPr>
        <w:spacing w:line="240" w:lineRule="auto"/>
        <w:rPr>
          <w:szCs w:val="22"/>
          <w:lang w:val="nl-NL"/>
        </w:rPr>
      </w:pPr>
      <w:r w:rsidRPr="000D625A">
        <w:rPr>
          <w:szCs w:val="22"/>
          <w:lang w:val="nl-NL"/>
        </w:rPr>
        <w:t>Dinatriumfosfaatdodecahydraat</w:t>
      </w:r>
    </w:p>
    <w:p w:rsidR="00525ED6" w:rsidRPr="000D625A" w:rsidRDefault="00525ED6" w:rsidP="00525ED6">
      <w:pPr>
        <w:spacing w:line="240" w:lineRule="auto"/>
        <w:rPr>
          <w:szCs w:val="22"/>
          <w:lang w:val="nl-NL"/>
        </w:rPr>
      </w:pPr>
      <w:r w:rsidRPr="000D625A">
        <w:rPr>
          <w:szCs w:val="22"/>
          <w:lang w:val="nl-NL"/>
        </w:rPr>
        <w:t>Fosforzuur</w:t>
      </w:r>
      <w:r w:rsidR="002E1ACF" w:rsidRPr="000D625A">
        <w:rPr>
          <w:szCs w:val="22"/>
          <w:lang w:val="nl-NL"/>
        </w:rPr>
        <w:t>, geconcentreerd</w:t>
      </w:r>
      <w:r w:rsidRPr="000D625A">
        <w:rPr>
          <w:szCs w:val="22"/>
          <w:lang w:val="nl-NL"/>
        </w:rPr>
        <w:t xml:space="preserve"> (voor pH</w:t>
      </w:r>
      <w:r w:rsidR="002E1ACF" w:rsidRPr="000D625A">
        <w:rPr>
          <w:szCs w:val="22"/>
          <w:lang w:val="nl-NL"/>
        </w:rPr>
        <w:noBreakHyphen/>
      </w:r>
      <w:r w:rsidRPr="000D625A">
        <w:rPr>
          <w:szCs w:val="22"/>
          <w:lang w:val="nl-NL"/>
        </w:rPr>
        <w:t>aanpassing)</w:t>
      </w:r>
    </w:p>
    <w:p w:rsidR="00525ED6" w:rsidRPr="000D625A" w:rsidRDefault="00525ED6" w:rsidP="00525ED6">
      <w:pPr>
        <w:spacing w:line="240" w:lineRule="auto"/>
        <w:rPr>
          <w:szCs w:val="22"/>
          <w:lang w:val="nl-NL"/>
        </w:rPr>
      </w:pPr>
      <w:r w:rsidRPr="000D625A">
        <w:rPr>
          <w:szCs w:val="22"/>
          <w:lang w:val="nl-NL"/>
        </w:rPr>
        <w:t>Natriumhydroxide (voor pH</w:t>
      </w:r>
      <w:r w:rsidR="002E1ACF" w:rsidRPr="000D625A">
        <w:rPr>
          <w:szCs w:val="22"/>
          <w:lang w:val="nl-NL"/>
        </w:rPr>
        <w:noBreakHyphen/>
      </w:r>
      <w:r w:rsidRPr="000D625A">
        <w:rPr>
          <w:szCs w:val="22"/>
          <w:lang w:val="nl-NL"/>
        </w:rPr>
        <w:t>aanpassing)</w:t>
      </w:r>
    </w:p>
    <w:p w:rsidR="00812D16" w:rsidRPr="000D625A" w:rsidRDefault="00525ED6" w:rsidP="00525ED6">
      <w:pPr>
        <w:spacing w:line="240" w:lineRule="auto"/>
        <w:rPr>
          <w:szCs w:val="22"/>
          <w:lang w:val="nl-NL"/>
        </w:rPr>
      </w:pPr>
      <w:r w:rsidRPr="000D625A">
        <w:rPr>
          <w:szCs w:val="22"/>
          <w:lang w:val="nl-NL"/>
        </w:rPr>
        <w:t>Water voor injectie</w:t>
      </w:r>
      <w:r w:rsidR="00CF2613">
        <w:rPr>
          <w:szCs w:val="22"/>
          <w:lang w:val="nl-NL"/>
        </w:rPr>
        <w:t>s</w:t>
      </w:r>
    </w:p>
    <w:p w:rsidR="00525ED6" w:rsidRPr="000D625A" w:rsidRDefault="00525ED6" w:rsidP="00525ED6">
      <w:pPr>
        <w:spacing w:line="240" w:lineRule="auto"/>
        <w:rPr>
          <w:szCs w:val="22"/>
          <w:lang w:val="nl-NL"/>
        </w:rPr>
      </w:pPr>
    </w:p>
    <w:p w:rsidR="00812D16" w:rsidRPr="000D625A" w:rsidRDefault="00812D16" w:rsidP="00204AAB">
      <w:pPr>
        <w:spacing w:line="240" w:lineRule="auto"/>
        <w:ind w:left="567" w:hanging="567"/>
        <w:outlineLvl w:val="0"/>
        <w:rPr>
          <w:szCs w:val="22"/>
          <w:lang w:val="nl-NL"/>
        </w:rPr>
      </w:pPr>
      <w:r w:rsidRPr="000D625A">
        <w:rPr>
          <w:b/>
          <w:bCs/>
          <w:szCs w:val="22"/>
          <w:lang w:val="nl-NL"/>
        </w:rPr>
        <w:t>6.2</w:t>
      </w:r>
      <w:r w:rsidRPr="000D625A">
        <w:rPr>
          <w:b/>
          <w:bCs/>
          <w:szCs w:val="22"/>
          <w:lang w:val="nl-NL"/>
        </w:rPr>
        <w:tab/>
        <w:t>Gevallen van onverenigbaarheid</w:t>
      </w:r>
    </w:p>
    <w:p w:rsidR="00812D16" w:rsidRPr="000D625A" w:rsidRDefault="00812D16" w:rsidP="00204AAB">
      <w:pPr>
        <w:spacing w:line="240" w:lineRule="auto"/>
        <w:rPr>
          <w:szCs w:val="22"/>
          <w:lang w:val="nl-NL"/>
        </w:rPr>
      </w:pPr>
    </w:p>
    <w:p w:rsidR="00812D16" w:rsidRPr="000D625A" w:rsidRDefault="00525ED6" w:rsidP="00204AAB">
      <w:pPr>
        <w:spacing w:line="240" w:lineRule="auto"/>
        <w:rPr>
          <w:szCs w:val="22"/>
          <w:lang w:val="nl-NL"/>
        </w:rPr>
      </w:pPr>
      <w:r w:rsidRPr="000D625A">
        <w:rPr>
          <w:szCs w:val="22"/>
          <w:lang w:val="nl-NL"/>
        </w:rPr>
        <w:t>Niet van toepassing.</w:t>
      </w:r>
    </w:p>
    <w:p w:rsidR="00525ED6" w:rsidRPr="000D625A" w:rsidRDefault="00525ED6" w:rsidP="00204AAB">
      <w:pPr>
        <w:spacing w:line="240" w:lineRule="auto"/>
        <w:rPr>
          <w:szCs w:val="22"/>
          <w:lang w:val="nl-NL"/>
        </w:rPr>
      </w:pPr>
    </w:p>
    <w:p w:rsidR="00812D16" w:rsidRPr="000D625A" w:rsidRDefault="00812D16" w:rsidP="009E06FE">
      <w:pPr>
        <w:keepNext/>
        <w:keepLines/>
        <w:spacing w:line="240" w:lineRule="auto"/>
        <w:ind w:left="567" w:hanging="567"/>
        <w:outlineLvl w:val="0"/>
        <w:rPr>
          <w:szCs w:val="22"/>
          <w:lang w:val="nl-NL"/>
        </w:rPr>
      </w:pPr>
      <w:r w:rsidRPr="000D625A">
        <w:rPr>
          <w:b/>
          <w:bCs/>
          <w:szCs w:val="22"/>
          <w:lang w:val="nl-NL"/>
        </w:rPr>
        <w:lastRenderedPageBreak/>
        <w:t>6.3</w:t>
      </w:r>
      <w:r w:rsidRPr="000D625A">
        <w:rPr>
          <w:b/>
          <w:bCs/>
          <w:szCs w:val="22"/>
          <w:lang w:val="nl-NL"/>
        </w:rPr>
        <w:tab/>
        <w:t>Houdbaarheid</w:t>
      </w:r>
    </w:p>
    <w:p w:rsidR="00812D16" w:rsidRPr="000D625A" w:rsidRDefault="00812D16" w:rsidP="009E06FE">
      <w:pPr>
        <w:keepNext/>
        <w:keepLines/>
        <w:spacing w:line="240" w:lineRule="auto"/>
        <w:rPr>
          <w:szCs w:val="22"/>
          <w:lang w:val="nl-NL"/>
        </w:rPr>
      </w:pPr>
    </w:p>
    <w:p w:rsidR="00525ED6" w:rsidRPr="000D625A" w:rsidRDefault="009A2C2D" w:rsidP="009E06FE">
      <w:pPr>
        <w:keepNext/>
        <w:keepLines/>
        <w:spacing w:line="240" w:lineRule="auto"/>
        <w:rPr>
          <w:szCs w:val="22"/>
          <w:lang w:val="nl-NL"/>
        </w:rPr>
      </w:pPr>
      <w:r>
        <w:rPr>
          <w:szCs w:val="22"/>
          <w:lang w:val="nl-NL"/>
        </w:rPr>
        <w:t>3 </w:t>
      </w:r>
      <w:r w:rsidR="00525ED6" w:rsidRPr="000D625A">
        <w:rPr>
          <w:szCs w:val="22"/>
          <w:lang w:val="nl-NL"/>
        </w:rPr>
        <w:t>jaar.</w:t>
      </w:r>
    </w:p>
    <w:p w:rsidR="00525ED6" w:rsidRPr="000D625A" w:rsidRDefault="00525ED6" w:rsidP="00525ED6">
      <w:pPr>
        <w:spacing w:line="240" w:lineRule="auto"/>
        <w:rPr>
          <w:szCs w:val="22"/>
          <w:lang w:val="nl-NL"/>
        </w:rPr>
      </w:pPr>
    </w:p>
    <w:p w:rsidR="00812D16" w:rsidRPr="000D625A" w:rsidRDefault="002E1ACF" w:rsidP="00525ED6">
      <w:pPr>
        <w:spacing w:line="240" w:lineRule="auto"/>
        <w:rPr>
          <w:szCs w:val="22"/>
          <w:lang w:val="nl-NL"/>
        </w:rPr>
      </w:pPr>
      <w:r w:rsidRPr="000D625A">
        <w:rPr>
          <w:szCs w:val="22"/>
          <w:lang w:val="nl-NL"/>
        </w:rPr>
        <w:t>Tijdens gebruik</w:t>
      </w:r>
      <w:r w:rsidR="00E810A0" w:rsidRPr="000D625A">
        <w:rPr>
          <w:szCs w:val="22"/>
          <w:lang w:val="nl-NL"/>
        </w:rPr>
        <w:t xml:space="preserve">: 28 dagen wanneer bewaard </w:t>
      </w:r>
      <w:r w:rsidR="00CF2613">
        <w:rPr>
          <w:szCs w:val="22"/>
          <w:lang w:val="nl-NL"/>
        </w:rPr>
        <w:t xml:space="preserve">bij of </w:t>
      </w:r>
      <w:r w:rsidR="00E810A0" w:rsidRPr="00545B00">
        <w:rPr>
          <w:szCs w:val="22"/>
          <w:lang w:val="nl-NL"/>
        </w:rPr>
        <w:t>beneden 25°C.</w:t>
      </w:r>
      <w:r w:rsidRPr="000D625A">
        <w:rPr>
          <w:szCs w:val="22"/>
          <w:lang w:val="nl-NL"/>
        </w:rPr>
        <w:t xml:space="preserve"> </w:t>
      </w:r>
      <w:r w:rsidR="00D03159" w:rsidRPr="000D625A">
        <w:rPr>
          <w:szCs w:val="22"/>
          <w:lang w:val="nl-NL"/>
        </w:rPr>
        <w:t>Bewaar</w:t>
      </w:r>
      <w:r w:rsidRPr="000D625A">
        <w:rPr>
          <w:szCs w:val="22"/>
          <w:lang w:val="nl-NL"/>
        </w:rPr>
        <w:t xml:space="preserve"> de patroon in de REKOVELLE</w:t>
      </w:r>
      <w:r w:rsidR="006749D4">
        <w:rPr>
          <w:szCs w:val="22"/>
          <w:lang w:val="nl-NL"/>
        </w:rPr>
        <w:t>-</w:t>
      </w:r>
      <w:r w:rsidRPr="000D625A">
        <w:rPr>
          <w:szCs w:val="22"/>
          <w:lang w:val="nl-NL"/>
        </w:rPr>
        <w:t>injectiepen.</w:t>
      </w:r>
    </w:p>
    <w:p w:rsidR="00525ED6" w:rsidRPr="000D625A" w:rsidRDefault="00525ED6" w:rsidP="00525ED6">
      <w:pPr>
        <w:spacing w:line="240" w:lineRule="auto"/>
        <w:rPr>
          <w:szCs w:val="22"/>
          <w:lang w:val="nl-NL"/>
        </w:rPr>
      </w:pPr>
    </w:p>
    <w:p w:rsidR="00812D16" w:rsidRPr="000D625A" w:rsidRDefault="00812D16" w:rsidP="00204AAB">
      <w:pPr>
        <w:spacing w:line="240" w:lineRule="auto"/>
        <w:ind w:left="567" w:hanging="567"/>
        <w:outlineLvl w:val="0"/>
        <w:rPr>
          <w:b/>
          <w:szCs w:val="22"/>
          <w:lang w:val="nl-NL"/>
        </w:rPr>
      </w:pPr>
      <w:r w:rsidRPr="000D625A">
        <w:rPr>
          <w:b/>
          <w:bCs/>
          <w:szCs w:val="22"/>
          <w:lang w:val="nl-NL"/>
        </w:rPr>
        <w:t>6.4</w:t>
      </w:r>
      <w:r w:rsidRPr="000D625A">
        <w:rPr>
          <w:b/>
          <w:bCs/>
          <w:szCs w:val="22"/>
          <w:lang w:val="nl-NL"/>
        </w:rPr>
        <w:tab/>
        <w:t>Speciale voorzorgsmaatregelen bij bewaren</w:t>
      </w:r>
    </w:p>
    <w:p w:rsidR="005108A3" w:rsidRPr="000D625A" w:rsidRDefault="005108A3" w:rsidP="00204AAB">
      <w:pPr>
        <w:spacing w:line="240" w:lineRule="auto"/>
        <w:ind w:left="567" w:hanging="567"/>
        <w:outlineLvl w:val="0"/>
        <w:rPr>
          <w:szCs w:val="22"/>
          <w:lang w:val="nl-NL"/>
        </w:rPr>
      </w:pPr>
    </w:p>
    <w:p w:rsidR="00525ED6" w:rsidRPr="000D625A" w:rsidRDefault="00525ED6" w:rsidP="00525ED6">
      <w:pPr>
        <w:rPr>
          <w:szCs w:val="22"/>
          <w:lang w:val="nl-NL"/>
        </w:rPr>
      </w:pPr>
      <w:r w:rsidRPr="000D625A">
        <w:rPr>
          <w:szCs w:val="22"/>
          <w:lang w:val="nl-NL"/>
        </w:rPr>
        <w:t xml:space="preserve">Bewaren in de koelkast </w:t>
      </w:r>
      <w:r w:rsidRPr="00545B00">
        <w:rPr>
          <w:szCs w:val="22"/>
          <w:lang w:val="nl-NL"/>
        </w:rPr>
        <w:t>(2°C</w:t>
      </w:r>
      <w:r w:rsidR="002E1ACF" w:rsidRPr="00545B00">
        <w:rPr>
          <w:szCs w:val="22"/>
          <w:lang w:val="nl-NL"/>
        </w:rPr>
        <w:t> </w:t>
      </w:r>
      <w:r w:rsidRPr="00545B00">
        <w:rPr>
          <w:szCs w:val="22"/>
          <w:lang w:val="nl-NL"/>
        </w:rPr>
        <w:t>–</w:t>
      </w:r>
      <w:r w:rsidR="002E1ACF" w:rsidRPr="00545B00">
        <w:rPr>
          <w:szCs w:val="22"/>
          <w:lang w:val="nl-NL"/>
        </w:rPr>
        <w:t> </w:t>
      </w:r>
      <w:r w:rsidRPr="00545B00">
        <w:rPr>
          <w:szCs w:val="22"/>
          <w:lang w:val="nl-NL"/>
        </w:rPr>
        <w:t>8°C</w:t>
      </w:r>
      <w:r w:rsidRPr="000D625A">
        <w:rPr>
          <w:szCs w:val="22"/>
          <w:lang w:val="nl-NL"/>
        </w:rPr>
        <w:t xml:space="preserve">). </w:t>
      </w:r>
    </w:p>
    <w:p w:rsidR="00525ED6" w:rsidRPr="000D625A" w:rsidRDefault="00525ED6" w:rsidP="00525ED6">
      <w:pPr>
        <w:rPr>
          <w:szCs w:val="22"/>
          <w:lang w:val="nl-NL"/>
        </w:rPr>
      </w:pPr>
      <w:r w:rsidRPr="000D625A">
        <w:rPr>
          <w:szCs w:val="22"/>
          <w:lang w:val="nl-NL"/>
        </w:rPr>
        <w:t>Niet in</w:t>
      </w:r>
      <w:r w:rsidR="00E950B7">
        <w:rPr>
          <w:szCs w:val="22"/>
          <w:lang w:val="nl-NL"/>
        </w:rPr>
        <w:t xml:space="preserve"> de </w:t>
      </w:r>
      <w:r w:rsidRPr="000D625A">
        <w:rPr>
          <w:szCs w:val="22"/>
          <w:lang w:val="nl-NL"/>
        </w:rPr>
        <w:t>vrieze</w:t>
      </w:r>
      <w:r w:rsidR="00E950B7">
        <w:rPr>
          <w:szCs w:val="22"/>
          <w:lang w:val="nl-NL"/>
        </w:rPr>
        <w:t>r bewaren</w:t>
      </w:r>
      <w:r w:rsidRPr="000D625A">
        <w:rPr>
          <w:szCs w:val="22"/>
          <w:lang w:val="nl-NL"/>
        </w:rPr>
        <w:t>.</w:t>
      </w:r>
    </w:p>
    <w:p w:rsidR="002E1ACF" w:rsidRPr="000D625A" w:rsidRDefault="002E1ACF" w:rsidP="00525ED6">
      <w:pPr>
        <w:spacing w:line="240" w:lineRule="auto"/>
        <w:rPr>
          <w:lang w:val="nl-NL"/>
        </w:rPr>
      </w:pPr>
      <w:r w:rsidRPr="000D625A">
        <w:rPr>
          <w:lang w:val="nl-NL"/>
        </w:rPr>
        <w:t>V</w:t>
      </w:r>
      <w:r w:rsidR="00CF2613">
        <w:rPr>
          <w:lang w:val="nl-NL"/>
        </w:rPr>
        <w:t>óó</w:t>
      </w:r>
      <w:r w:rsidRPr="000D625A">
        <w:rPr>
          <w:lang w:val="nl-NL"/>
        </w:rPr>
        <w:t>r het eerste gebruik bewaren in de oorspronkelijke verpakking ter bescherming tegen licht.</w:t>
      </w:r>
    </w:p>
    <w:p w:rsidR="002E1ACF" w:rsidRPr="000D625A" w:rsidRDefault="002E1ACF" w:rsidP="00525ED6">
      <w:pPr>
        <w:spacing w:line="240" w:lineRule="auto"/>
        <w:rPr>
          <w:lang w:val="nl-NL"/>
        </w:rPr>
      </w:pPr>
    </w:p>
    <w:p w:rsidR="00812D16" w:rsidRPr="000D625A" w:rsidRDefault="00525ED6" w:rsidP="00525ED6">
      <w:pPr>
        <w:spacing w:line="240" w:lineRule="auto"/>
        <w:rPr>
          <w:lang w:val="nl-NL"/>
        </w:rPr>
      </w:pPr>
      <w:r w:rsidRPr="000D625A">
        <w:rPr>
          <w:lang w:val="nl-NL"/>
        </w:rPr>
        <w:t xml:space="preserve">REKOVELLE </w:t>
      </w:r>
      <w:r w:rsidR="002E1ACF" w:rsidRPr="000D625A">
        <w:rPr>
          <w:lang w:val="nl-NL"/>
        </w:rPr>
        <w:t xml:space="preserve">kan </w:t>
      </w:r>
      <w:r w:rsidRPr="000D625A">
        <w:rPr>
          <w:lang w:val="nl-NL"/>
        </w:rPr>
        <w:t>uit de koelkast worden genomen en maximaal 3</w:t>
      </w:r>
      <w:r w:rsidR="002E1ACF" w:rsidRPr="000D625A">
        <w:rPr>
          <w:lang w:val="nl-NL"/>
        </w:rPr>
        <w:t> </w:t>
      </w:r>
      <w:r w:rsidRPr="000D625A">
        <w:rPr>
          <w:lang w:val="nl-NL"/>
        </w:rPr>
        <w:t>maanden</w:t>
      </w:r>
      <w:r w:rsidR="00D03159" w:rsidRPr="000D625A">
        <w:rPr>
          <w:lang w:val="nl-NL"/>
        </w:rPr>
        <w:t>, inclusief de periode na het eerste gebruik</w:t>
      </w:r>
      <w:r w:rsidRPr="000D625A">
        <w:rPr>
          <w:lang w:val="nl-NL"/>
        </w:rPr>
        <w:t xml:space="preserve"> </w:t>
      </w:r>
      <w:r w:rsidR="00CF2613">
        <w:rPr>
          <w:lang w:val="nl-NL"/>
        </w:rPr>
        <w:t xml:space="preserve">worden </w:t>
      </w:r>
      <w:r w:rsidRPr="000D625A">
        <w:rPr>
          <w:lang w:val="nl-NL"/>
        </w:rPr>
        <w:t xml:space="preserve">bewaard bij of beneden </w:t>
      </w:r>
      <w:r w:rsidRPr="00545B00">
        <w:rPr>
          <w:lang w:val="nl-NL"/>
        </w:rPr>
        <w:t>25°C</w:t>
      </w:r>
      <w:r w:rsidRPr="000D625A">
        <w:rPr>
          <w:lang w:val="nl-NL"/>
        </w:rPr>
        <w:t xml:space="preserve">, zonder opnieuw in de koelkast geplaatst te worden. Daarna moet het product worden </w:t>
      </w:r>
      <w:r w:rsidR="00CF2613">
        <w:rPr>
          <w:lang w:val="nl-NL"/>
        </w:rPr>
        <w:t>vernietigd</w:t>
      </w:r>
      <w:r w:rsidRPr="000D625A">
        <w:rPr>
          <w:lang w:val="nl-NL"/>
        </w:rPr>
        <w:t>.</w:t>
      </w:r>
    </w:p>
    <w:p w:rsidR="00525ED6" w:rsidRPr="000D625A" w:rsidRDefault="00525ED6" w:rsidP="00525ED6">
      <w:pPr>
        <w:rPr>
          <w:szCs w:val="22"/>
          <w:lang w:val="nl-NL"/>
        </w:rPr>
      </w:pPr>
    </w:p>
    <w:p w:rsidR="00525ED6" w:rsidRPr="000D625A" w:rsidRDefault="00525ED6" w:rsidP="00525ED6">
      <w:pPr>
        <w:rPr>
          <w:szCs w:val="22"/>
          <w:lang w:val="nl-NL"/>
        </w:rPr>
      </w:pPr>
      <w:r w:rsidRPr="000D625A">
        <w:rPr>
          <w:szCs w:val="22"/>
          <w:lang w:val="nl-NL"/>
        </w:rPr>
        <w:t xml:space="preserve">Voor bewaarcondities na </w:t>
      </w:r>
      <w:r w:rsidR="00D03159" w:rsidRPr="000D625A">
        <w:rPr>
          <w:szCs w:val="22"/>
          <w:lang w:val="nl-NL"/>
        </w:rPr>
        <w:t xml:space="preserve">eerste gebruik </w:t>
      </w:r>
      <w:r w:rsidRPr="000D625A">
        <w:rPr>
          <w:szCs w:val="22"/>
          <w:lang w:val="nl-NL"/>
        </w:rPr>
        <w:t>van het geneesmiddel, zie rubriek</w:t>
      </w:r>
      <w:r w:rsidR="00D03159" w:rsidRPr="000D625A">
        <w:rPr>
          <w:szCs w:val="22"/>
          <w:lang w:val="nl-NL"/>
        </w:rPr>
        <w:t> </w:t>
      </w:r>
      <w:r w:rsidRPr="000D625A">
        <w:rPr>
          <w:szCs w:val="22"/>
          <w:lang w:val="nl-NL"/>
        </w:rPr>
        <w:t>6.3.</w:t>
      </w:r>
    </w:p>
    <w:p w:rsidR="007E28C9" w:rsidRPr="000D625A" w:rsidRDefault="007E28C9" w:rsidP="00525ED6">
      <w:pPr>
        <w:rPr>
          <w:szCs w:val="22"/>
          <w:lang w:val="nl-NL"/>
        </w:rPr>
      </w:pPr>
    </w:p>
    <w:p w:rsidR="00812D16" w:rsidRPr="000D625A" w:rsidRDefault="00F9016F" w:rsidP="00204AAB">
      <w:pPr>
        <w:spacing w:line="240" w:lineRule="auto"/>
        <w:outlineLvl w:val="0"/>
        <w:rPr>
          <w:b/>
          <w:szCs w:val="22"/>
          <w:lang w:val="nl-NL"/>
        </w:rPr>
      </w:pPr>
      <w:r w:rsidRPr="000D625A">
        <w:rPr>
          <w:b/>
          <w:bCs/>
          <w:szCs w:val="22"/>
          <w:lang w:val="nl-NL"/>
        </w:rPr>
        <w:t>6.5</w:t>
      </w:r>
      <w:r w:rsidRPr="000D625A">
        <w:rPr>
          <w:b/>
          <w:bCs/>
          <w:szCs w:val="22"/>
          <w:lang w:val="nl-NL"/>
        </w:rPr>
        <w:tab/>
        <w:t>Aard en inhoud van de verpakking</w:t>
      </w:r>
    </w:p>
    <w:p w:rsidR="00525ED6" w:rsidRPr="000D625A" w:rsidRDefault="00525ED6" w:rsidP="00204AAB">
      <w:pPr>
        <w:spacing w:line="240" w:lineRule="auto"/>
        <w:outlineLvl w:val="0"/>
        <w:rPr>
          <w:b/>
          <w:szCs w:val="22"/>
          <w:lang w:val="nl-NL"/>
        </w:rPr>
      </w:pPr>
    </w:p>
    <w:p w:rsidR="007D584E" w:rsidRPr="000D625A" w:rsidRDefault="007D584E" w:rsidP="009E06FE">
      <w:pPr>
        <w:keepLines/>
        <w:rPr>
          <w:szCs w:val="22"/>
          <w:u w:val="single"/>
          <w:lang w:val="nl-NL"/>
        </w:rPr>
      </w:pPr>
      <w:r w:rsidRPr="000D625A">
        <w:rPr>
          <w:szCs w:val="22"/>
          <w:u w:val="single"/>
          <w:lang w:val="nl-NL"/>
        </w:rPr>
        <w:t>REKOVELLE 12 microgram/0,36 ml oplossing voor injectie</w:t>
      </w:r>
    </w:p>
    <w:p w:rsidR="00525ED6" w:rsidRPr="000D625A" w:rsidRDefault="00525ED6" w:rsidP="009E06FE">
      <w:pPr>
        <w:keepLines/>
        <w:rPr>
          <w:szCs w:val="22"/>
          <w:lang w:val="nl-NL"/>
        </w:rPr>
      </w:pPr>
      <w:r w:rsidRPr="000D625A">
        <w:rPr>
          <w:szCs w:val="22"/>
          <w:lang w:val="nl-NL"/>
        </w:rPr>
        <w:t xml:space="preserve">3 ml </w:t>
      </w:r>
      <w:r w:rsidR="00D03159" w:rsidRPr="000D625A">
        <w:rPr>
          <w:szCs w:val="22"/>
          <w:lang w:val="nl-NL"/>
        </w:rPr>
        <w:t>multidos</w:t>
      </w:r>
      <w:r w:rsidR="00CF2613">
        <w:rPr>
          <w:szCs w:val="22"/>
          <w:lang w:val="nl-NL"/>
        </w:rPr>
        <w:t>erings</w:t>
      </w:r>
      <w:r w:rsidRPr="000D625A">
        <w:rPr>
          <w:szCs w:val="22"/>
          <w:lang w:val="nl-NL"/>
        </w:rPr>
        <w:t>patroon (type</w:t>
      </w:r>
      <w:r w:rsidR="00D03159" w:rsidRPr="000D625A">
        <w:rPr>
          <w:szCs w:val="22"/>
          <w:lang w:val="nl-NL"/>
        </w:rPr>
        <w:t> </w:t>
      </w:r>
      <w:r w:rsidRPr="000D625A">
        <w:rPr>
          <w:szCs w:val="22"/>
          <w:lang w:val="nl-NL"/>
        </w:rPr>
        <w:t>I</w:t>
      </w:r>
      <w:r w:rsidR="00FA1F23">
        <w:rPr>
          <w:szCs w:val="22"/>
          <w:lang w:val="nl-NL"/>
        </w:rPr>
        <w:t>-</w:t>
      </w:r>
      <w:r w:rsidRPr="000D625A">
        <w:rPr>
          <w:szCs w:val="22"/>
          <w:lang w:val="nl-NL"/>
        </w:rPr>
        <w:t>glas) met een zuiger (halobutylrubber) en een krimpdop (aluminium) met inleg (rubber).</w:t>
      </w:r>
      <w:r w:rsidR="00D03159" w:rsidRPr="000D625A">
        <w:rPr>
          <w:szCs w:val="22"/>
          <w:lang w:val="nl-NL"/>
        </w:rPr>
        <w:t xml:space="preserve"> Elke patroon bevat 0,36 ml oplossing.</w:t>
      </w:r>
    </w:p>
    <w:p w:rsidR="00525ED6" w:rsidRPr="000D625A" w:rsidRDefault="00525ED6" w:rsidP="009E06FE">
      <w:pPr>
        <w:keepLines/>
        <w:rPr>
          <w:szCs w:val="22"/>
          <w:lang w:val="nl-NL"/>
        </w:rPr>
      </w:pPr>
      <w:r w:rsidRPr="000D625A">
        <w:rPr>
          <w:szCs w:val="22"/>
          <w:lang w:val="nl-NL"/>
        </w:rPr>
        <w:t>Verpakkingsgrootte van 1</w:t>
      </w:r>
      <w:r w:rsidR="00D03159" w:rsidRPr="000D625A">
        <w:rPr>
          <w:szCs w:val="22"/>
          <w:lang w:val="nl-NL"/>
        </w:rPr>
        <w:t> </w:t>
      </w:r>
      <w:r w:rsidRPr="000D625A">
        <w:rPr>
          <w:szCs w:val="22"/>
          <w:lang w:val="nl-NL"/>
        </w:rPr>
        <w:t>patroon en 3</w:t>
      </w:r>
      <w:r w:rsidR="00D03159" w:rsidRPr="000D625A">
        <w:rPr>
          <w:szCs w:val="22"/>
          <w:lang w:val="nl-NL"/>
        </w:rPr>
        <w:t> injectie</w:t>
      </w:r>
      <w:r w:rsidRPr="000D625A">
        <w:rPr>
          <w:szCs w:val="22"/>
          <w:lang w:val="nl-NL"/>
        </w:rPr>
        <w:t>naalden</w:t>
      </w:r>
      <w:r w:rsidR="00D03159" w:rsidRPr="000D625A">
        <w:rPr>
          <w:szCs w:val="22"/>
          <w:lang w:val="nl-NL"/>
        </w:rPr>
        <w:t xml:space="preserve"> (roestvrij staal)</w:t>
      </w:r>
      <w:r w:rsidRPr="000D625A">
        <w:rPr>
          <w:szCs w:val="22"/>
          <w:lang w:val="nl-NL"/>
        </w:rPr>
        <w:t>, te gebruiken met de REKOVELLE</w:t>
      </w:r>
      <w:r w:rsidR="006749D4">
        <w:rPr>
          <w:szCs w:val="22"/>
          <w:lang w:val="nl-NL"/>
        </w:rPr>
        <w:t>-</w:t>
      </w:r>
      <w:r w:rsidRPr="000D625A">
        <w:rPr>
          <w:szCs w:val="22"/>
          <w:lang w:val="nl-NL"/>
        </w:rPr>
        <w:t>injectiepen.</w:t>
      </w:r>
    </w:p>
    <w:p w:rsidR="00B277DF" w:rsidRPr="000D625A" w:rsidRDefault="00B277DF" w:rsidP="009E06FE">
      <w:pPr>
        <w:keepLines/>
        <w:rPr>
          <w:szCs w:val="22"/>
          <w:highlight w:val="lightGray"/>
          <w:u w:val="single"/>
          <w:lang w:val="nl-NL"/>
        </w:rPr>
      </w:pPr>
      <w:r w:rsidRPr="000D625A">
        <w:rPr>
          <w:szCs w:val="22"/>
          <w:u w:val="single"/>
          <w:lang w:val="nl-NL"/>
        </w:rPr>
        <w:t>REKOVELLE 36 microgram/1,08 ml oplossing voor injectie</w:t>
      </w:r>
    </w:p>
    <w:p w:rsidR="00525ED6" w:rsidRPr="000D625A" w:rsidRDefault="00525ED6" w:rsidP="009E06FE">
      <w:pPr>
        <w:keepLines/>
        <w:rPr>
          <w:szCs w:val="22"/>
          <w:lang w:val="nl-NL"/>
        </w:rPr>
      </w:pPr>
      <w:r w:rsidRPr="000D625A">
        <w:rPr>
          <w:szCs w:val="22"/>
          <w:lang w:val="nl-NL"/>
        </w:rPr>
        <w:t xml:space="preserve">3 ml </w:t>
      </w:r>
      <w:r w:rsidR="005E4CF1">
        <w:rPr>
          <w:szCs w:val="22"/>
          <w:lang w:val="nl-NL"/>
        </w:rPr>
        <w:t>multidoserings</w:t>
      </w:r>
      <w:r w:rsidRPr="000D625A">
        <w:rPr>
          <w:szCs w:val="22"/>
          <w:lang w:val="nl-NL"/>
        </w:rPr>
        <w:t>patroon (type</w:t>
      </w:r>
      <w:r w:rsidR="00D03159" w:rsidRPr="000D625A">
        <w:rPr>
          <w:szCs w:val="22"/>
          <w:lang w:val="nl-NL"/>
        </w:rPr>
        <w:t> </w:t>
      </w:r>
      <w:r w:rsidRPr="000D625A">
        <w:rPr>
          <w:szCs w:val="22"/>
          <w:lang w:val="nl-NL"/>
        </w:rPr>
        <w:t>I</w:t>
      </w:r>
      <w:r w:rsidR="00FA1F23">
        <w:rPr>
          <w:szCs w:val="22"/>
          <w:lang w:val="nl-NL"/>
        </w:rPr>
        <w:t>-</w:t>
      </w:r>
      <w:r w:rsidRPr="000D625A">
        <w:rPr>
          <w:szCs w:val="22"/>
          <w:lang w:val="nl-NL"/>
        </w:rPr>
        <w:t>glas) met een zuiger (halobutylrubber) en een krimpdop (aluminium) met inleg (rubber).</w:t>
      </w:r>
      <w:r w:rsidR="00D03159" w:rsidRPr="000D625A">
        <w:rPr>
          <w:szCs w:val="22"/>
          <w:lang w:val="nl-NL"/>
        </w:rPr>
        <w:t xml:space="preserve"> Elke patroon bevat 1,08 ml oplossing.</w:t>
      </w:r>
    </w:p>
    <w:p w:rsidR="00525ED6" w:rsidRPr="000D625A" w:rsidRDefault="00525ED6" w:rsidP="009E06FE">
      <w:pPr>
        <w:keepLines/>
        <w:rPr>
          <w:szCs w:val="22"/>
          <w:highlight w:val="lightGray"/>
          <w:lang w:val="nl-NL"/>
        </w:rPr>
      </w:pPr>
      <w:r w:rsidRPr="000D625A">
        <w:rPr>
          <w:szCs w:val="22"/>
          <w:lang w:val="nl-NL"/>
        </w:rPr>
        <w:t>Verpakkingsgrootte van 1</w:t>
      </w:r>
      <w:r w:rsidR="00D03159" w:rsidRPr="000D625A">
        <w:rPr>
          <w:szCs w:val="22"/>
          <w:lang w:val="nl-NL"/>
        </w:rPr>
        <w:t> </w:t>
      </w:r>
      <w:r w:rsidRPr="000D625A">
        <w:rPr>
          <w:szCs w:val="22"/>
          <w:lang w:val="nl-NL"/>
        </w:rPr>
        <w:t>patroon en 6</w:t>
      </w:r>
      <w:r w:rsidR="00D03159" w:rsidRPr="000D625A">
        <w:rPr>
          <w:szCs w:val="22"/>
          <w:lang w:val="nl-NL"/>
        </w:rPr>
        <w:t> injectie</w:t>
      </w:r>
      <w:r w:rsidRPr="000D625A">
        <w:rPr>
          <w:szCs w:val="22"/>
          <w:lang w:val="nl-NL"/>
        </w:rPr>
        <w:t>naalden</w:t>
      </w:r>
      <w:r w:rsidR="00D03159" w:rsidRPr="000D625A">
        <w:rPr>
          <w:szCs w:val="22"/>
          <w:lang w:val="nl-NL"/>
        </w:rPr>
        <w:t xml:space="preserve"> (roestvrij staal)</w:t>
      </w:r>
      <w:r w:rsidRPr="000D625A">
        <w:rPr>
          <w:szCs w:val="22"/>
          <w:lang w:val="nl-NL"/>
        </w:rPr>
        <w:t>, te gebruiken met de REKOVELLE</w:t>
      </w:r>
      <w:r w:rsidR="006749D4">
        <w:rPr>
          <w:szCs w:val="22"/>
          <w:lang w:val="nl-NL"/>
        </w:rPr>
        <w:t>-</w:t>
      </w:r>
      <w:r w:rsidRPr="000D625A">
        <w:rPr>
          <w:szCs w:val="22"/>
          <w:lang w:val="nl-NL"/>
        </w:rPr>
        <w:t>injectiepen.</w:t>
      </w:r>
    </w:p>
    <w:p w:rsidR="007D584E" w:rsidRPr="000D625A" w:rsidRDefault="007D584E" w:rsidP="009E06FE">
      <w:pPr>
        <w:keepLines/>
        <w:rPr>
          <w:szCs w:val="22"/>
          <w:u w:val="single"/>
          <w:lang w:val="nl-NL"/>
        </w:rPr>
      </w:pPr>
      <w:r w:rsidRPr="000D625A">
        <w:rPr>
          <w:szCs w:val="22"/>
          <w:u w:val="single"/>
          <w:lang w:val="nl-NL"/>
        </w:rPr>
        <w:t>REKOVELLE 72 microgram/2,16 ml oplossing voor injectie</w:t>
      </w:r>
    </w:p>
    <w:p w:rsidR="00525ED6" w:rsidRPr="000D625A" w:rsidRDefault="00525ED6" w:rsidP="009E06FE">
      <w:pPr>
        <w:keepLines/>
        <w:rPr>
          <w:szCs w:val="22"/>
          <w:lang w:val="nl-NL"/>
        </w:rPr>
      </w:pPr>
      <w:r w:rsidRPr="000D625A">
        <w:rPr>
          <w:szCs w:val="22"/>
          <w:lang w:val="nl-NL"/>
        </w:rPr>
        <w:t xml:space="preserve">3 ml </w:t>
      </w:r>
      <w:r w:rsidR="00D03159" w:rsidRPr="000D625A">
        <w:rPr>
          <w:szCs w:val="22"/>
          <w:lang w:val="nl-NL"/>
        </w:rPr>
        <w:t>multidos</w:t>
      </w:r>
      <w:r w:rsidR="005E4CF1">
        <w:rPr>
          <w:szCs w:val="22"/>
          <w:lang w:val="nl-NL"/>
        </w:rPr>
        <w:t>erings</w:t>
      </w:r>
      <w:r w:rsidRPr="000D625A">
        <w:rPr>
          <w:szCs w:val="22"/>
          <w:lang w:val="nl-NL"/>
        </w:rPr>
        <w:t>patroon (type</w:t>
      </w:r>
      <w:r w:rsidR="00D03159" w:rsidRPr="000D625A">
        <w:rPr>
          <w:szCs w:val="22"/>
          <w:lang w:val="nl-NL"/>
        </w:rPr>
        <w:t> </w:t>
      </w:r>
      <w:r w:rsidRPr="000D625A">
        <w:rPr>
          <w:szCs w:val="22"/>
          <w:lang w:val="nl-NL"/>
        </w:rPr>
        <w:t>I</w:t>
      </w:r>
      <w:r w:rsidR="00FA1F23">
        <w:rPr>
          <w:szCs w:val="22"/>
          <w:lang w:val="nl-NL"/>
        </w:rPr>
        <w:t>-</w:t>
      </w:r>
      <w:r w:rsidRPr="000D625A">
        <w:rPr>
          <w:szCs w:val="22"/>
          <w:lang w:val="nl-NL"/>
        </w:rPr>
        <w:t>glas) met een zuiger (halobutylrubber) en een krimpdop (aluminium) met inleg (rubber).</w:t>
      </w:r>
      <w:r w:rsidR="00D03159" w:rsidRPr="000D625A">
        <w:rPr>
          <w:szCs w:val="22"/>
          <w:lang w:val="nl-NL"/>
        </w:rPr>
        <w:t xml:space="preserve"> Elke patroon bevat 2,16 ml oplossing.</w:t>
      </w:r>
    </w:p>
    <w:p w:rsidR="00525ED6" w:rsidRPr="000D625A" w:rsidRDefault="00525ED6" w:rsidP="009E06FE">
      <w:pPr>
        <w:keepLines/>
        <w:rPr>
          <w:szCs w:val="22"/>
          <w:lang w:val="nl-NL"/>
        </w:rPr>
      </w:pPr>
      <w:r w:rsidRPr="000D625A">
        <w:rPr>
          <w:szCs w:val="22"/>
          <w:lang w:val="nl-NL"/>
        </w:rPr>
        <w:t>Verpakkingsgrootte van 1</w:t>
      </w:r>
      <w:r w:rsidR="00D03159" w:rsidRPr="000D625A">
        <w:rPr>
          <w:szCs w:val="22"/>
          <w:lang w:val="nl-NL"/>
        </w:rPr>
        <w:t> </w:t>
      </w:r>
      <w:r w:rsidRPr="000D625A">
        <w:rPr>
          <w:szCs w:val="22"/>
          <w:lang w:val="nl-NL"/>
        </w:rPr>
        <w:t>patroon en 9</w:t>
      </w:r>
      <w:r w:rsidR="00D03159" w:rsidRPr="000D625A">
        <w:rPr>
          <w:szCs w:val="22"/>
          <w:lang w:val="nl-NL"/>
        </w:rPr>
        <w:t> injectie</w:t>
      </w:r>
      <w:r w:rsidRPr="000D625A">
        <w:rPr>
          <w:szCs w:val="22"/>
          <w:lang w:val="nl-NL"/>
        </w:rPr>
        <w:t>naalden</w:t>
      </w:r>
      <w:r w:rsidR="00D03159" w:rsidRPr="000D625A">
        <w:rPr>
          <w:szCs w:val="22"/>
          <w:lang w:val="nl-NL"/>
        </w:rPr>
        <w:t xml:space="preserve"> (roestvrij staal)</w:t>
      </w:r>
      <w:r w:rsidRPr="000D625A">
        <w:rPr>
          <w:szCs w:val="22"/>
          <w:lang w:val="nl-NL"/>
        </w:rPr>
        <w:t>, te gebruiken met de REKOVELLE</w:t>
      </w:r>
      <w:r w:rsidR="006749D4">
        <w:rPr>
          <w:szCs w:val="22"/>
          <w:lang w:val="nl-NL"/>
        </w:rPr>
        <w:t>-</w:t>
      </w:r>
      <w:r w:rsidRPr="000D625A">
        <w:rPr>
          <w:szCs w:val="22"/>
          <w:lang w:val="nl-NL"/>
        </w:rPr>
        <w:t>injectiepen.</w:t>
      </w:r>
    </w:p>
    <w:p w:rsidR="00812D16" w:rsidRPr="000D625A" w:rsidRDefault="00812D16" w:rsidP="00204AAB">
      <w:pPr>
        <w:spacing w:line="240" w:lineRule="auto"/>
        <w:rPr>
          <w:szCs w:val="22"/>
          <w:lang w:val="nl-NL"/>
        </w:rPr>
      </w:pPr>
    </w:p>
    <w:p w:rsidR="00812D16" w:rsidRPr="000D625A" w:rsidRDefault="00812D16" w:rsidP="00D94FAF">
      <w:pPr>
        <w:spacing w:line="240" w:lineRule="auto"/>
        <w:ind w:left="567" w:hanging="567"/>
        <w:outlineLvl w:val="0"/>
        <w:rPr>
          <w:szCs w:val="22"/>
          <w:lang w:val="nl-NL"/>
        </w:rPr>
      </w:pPr>
      <w:bookmarkStart w:id="0" w:name="OLE_LINK1"/>
      <w:r w:rsidRPr="000D625A">
        <w:rPr>
          <w:b/>
          <w:bCs/>
          <w:szCs w:val="22"/>
          <w:lang w:val="nl-NL"/>
        </w:rPr>
        <w:t>6.6</w:t>
      </w:r>
      <w:r w:rsidRPr="000D625A">
        <w:rPr>
          <w:b/>
          <w:bCs/>
          <w:szCs w:val="22"/>
          <w:lang w:val="nl-NL"/>
        </w:rPr>
        <w:tab/>
        <w:t>Speciale voorzorgsmaatregelen voor het verwijderen en andere instructies</w:t>
      </w:r>
    </w:p>
    <w:bookmarkEnd w:id="0"/>
    <w:p w:rsidR="008A7E0F" w:rsidRPr="000D625A" w:rsidRDefault="008A7E0F" w:rsidP="00F20F2B">
      <w:pPr>
        <w:rPr>
          <w:szCs w:val="22"/>
          <w:lang w:val="nl-NL"/>
        </w:rPr>
      </w:pPr>
    </w:p>
    <w:p w:rsidR="00F20F2B" w:rsidRPr="000D625A" w:rsidRDefault="00F20F2B" w:rsidP="00F20F2B">
      <w:pPr>
        <w:rPr>
          <w:szCs w:val="22"/>
          <w:lang w:val="nl-NL"/>
        </w:rPr>
      </w:pPr>
      <w:r w:rsidRPr="000D625A">
        <w:rPr>
          <w:szCs w:val="22"/>
          <w:lang w:val="nl-NL"/>
        </w:rPr>
        <w:t>De oplossing mag niet worden toegediend wanneer deze deeltjes bevat of niet helder is.</w:t>
      </w:r>
    </w:p>
    <w:p w:rsidR="00F20F2B" w:rsidRPr="000D625A" w:rsidRDefault="00F20F2B" w:rsidP="00F20F2B">
      <w:pPr>
        <w:rPr>
          <w:szCs w:val="22"/>
          <w:lang w:val="nl-NL"/>
        </w:rPr>
      </w:pPr>
    </w:p>
    <w:p w:rsidR="00F20F2B" w:rsidRPr="000D625A" w:rsidRDefault="0089173D" w:rsidP="00CB5664">
      <w:pPr>
        <w:rPr>
          <w:szCs w:val="22"/>
          <w:lang w:val="nl-NL"/>
        </w:rPr>
      </w:pPr>
      <w:r w:rsidRPr="000D625A">
        <w:rPr>
          <w:szCs w:val="22"/>
          <w:lang w:val="nl-NL"/>
        </w:rPr>
        <w:t>REKOVELLE is ontwikkeld voor gebruik in combinatie met de REKOVELLE</w:t>
      </w:r>
      <w:r w:rsidR="006749D4">
        <w:rPr>
          <w:szCs w:val="22"/>
          <w:lang w:val="nl-NL"/>
        </w:rPr>
        <w:t>-</w:t>
      </w:r>
      <w:r w:rsidRPr="000D625A">
        <w:rPr>
          <w:szCs w:val="22"/>
          <w:lang w:val="nl-NL"/>
        </w:rPr>
        <w:t xml:space="preserve">injectiepen die afzonderlijk wordt verstrekt. De gebruiksaanwijzing voor de pen moet worden opgevolgd. Gebruikte naalden onmiddellijk na injectie </w:t>
      </w:r>
      <w:r w:rsidR="00FA1F23">
        <w:rPr>
          <w:szCs w:val="22"/>
          <w:lang w:val="nl-NL"/>
        </w:rPr>
        <w:t>afvoeren</w:t>
      </w:r>
      <w:r w:rsidRPr="000D625A">
        <w:rPr>
          <w:szCs w:val="22"/>
          <w:lang w:val="nl-NL"/>
        </w:rPr>
        <w:t>.</w:t>
      </w:r>
    </w:p>
    <w:p w:rsidR="00F20F2B" w:rsidRPr="000D625A" w:rsidRDefault="00F20F2B" w:rsidP="00F20F2B">
      <w:pPr>
        <w:rPr>
          <w:szCs w:val="22"/>
          <w:lang w:val="nl-NL"/>
        </w:rPr>
      </w:pPr>
    </w:p>
    <w:p w:rsidR="00812D16" w:rsidRPr="000D625A" w:rsidRDefault="00F20F2B" w:rsidP="00F20F2B">
      <w:pPr>
        <w:spacing w:line="240" w:lineRule="auto"/>
        <w:rPr>
          <w:lang w:val="nl-NL"/>
        </w:rPr>
      </w:pPr>
      <w:r w:rsidRPr="000D625A">
        <w:rPr>
          <w:szCs w:val="22"/>
          <w:lang w:val="nl-NL"/>
        </w:rPr>
        <w:t>Al het ongebruikte geneesmiddel of afvalmateriaal dient te worden vernietigd overeenkomstig lokale voorschriften.</w:t>
      </w:r>
    </w:p>
    <w:p w:rsidR="00812D16" w:rsidRPr="000D625A" w:rsidRDefault="00812D16" w:rsidP="00204AAB">
      <w:pPr>
        <w:spacing w:line="240" w:lineRule="auto"/>
        <w:rPr>
          <w:szCs w:val="22"/>
          <w:lang w:val="nl-NL"/>
        </w:rPr>
      </w:pPr>
    </w:p>
    <w:p w:rsidR="00D03159" w:rsidRPr="000D625A" w:rsidRDefault="00D03159" w:rsidP="00204AAB">
      <w:pPr>
        <w:spacing w:line="240" w:lineRule="auto"/>
        <w:rPr>
          <w:szCs w:val="22"/>
          <w:lang w:val="nl-NL"/>
        </w:rPr>
      </w:pPr>
    </w:p>
    <w:p w:rsidR="00812D16" w:rsidRPr="000D625A" w:rsidRDefault="00812D16" w:rsidP="00204AAB">
      <w:pPr>
        <w:spacing w:line="240" w:lineRule="auto"/>
        <w:ind w:left="567" w:hanging="567"/>
        <w:rPr>
          <w:szCs w:val="22"/>
          <w:lang w:val="nl-NL"/>
        </w:rPr>
      </w:pPr>
      <w:r w:rsidRPr="000D625A">
        <w:rPr>
          <w:b/>
          <w:bCs/>
          <w:szCs w:val="22"/>
          <w:lang w:val="nl-NL"/>
        </w:rPr>
        <w:t>7.</w:t>
      </w:r>
      <w:r w:rsidRPr="000D625A">
        <w:rPr>
          <w:b/>
          <w:bCs/>
          <w:szCs w:val="22"/>
          <w:lang w:val="nl-NL"/>
        </w:rPr>
        <w:tab/>
        <w:t>HOUDER VAN DE VERGUNNING VOOR HET IN DE HANDEL BRENGEN</w:t>
      </w:r>
    </w:p>
    <w:p w:rsidR="00812D16" w:rsidRPr="000D625A" w:rsidRDefault="00812D16" w:rsidP="00204AAB">
      <w:pPr>
        <w:spacing w:line="240" w:lineRule="auto"/>
        <w:rPr>
          <w:szCs w:val="22"/>
          <w:lang w:val="nl-NL"/>
        </w:rPr>
      </w:pPr>
    </w:p>
    <w:p w:rsidR="00F20F2B" w:rsidRPr="006008DC" w:rsidRDefault="00F20F2B" w:rsidP="00F20F2B">
      <w:pPr>
        <w:rPr>
          <w:szCs w:val="22"/>
          <w:lang w:val="en-US"/>
        </w:rPr>
      </w:pPr>
      <w:r w:rsidRPr="006008DC">
        <w:rPr>
          <w:szCs w:val="22"/>
          <w:lang w:val="en-US"/>
        </w:rPr>
        <w:t>Ferring Pharmaceuticals A/S</w:t>
      </w:r>
    </w:p>
    <w:p w:rsidR="00F20F2B" w:rsidRPr="006008DC" w:rsidRDefault="00F20F2B" w:rsidP="00F20F2B">
      <w:pPr>
        <w:rPr>
          <w:szCs w:val="22"/>
          <w:lang w:val="en-US"/>
        </w:rPr>
      </w:pPr>
      <w:r w:rsidRPr="006008DC">
        <w:rPr>
          <w:szCs w:val="22"/>
          <w:lang w:val="en-US"/>
        </w:rPr>
        <w:t>Kay Fiskers Plads 11</w:t>
      </w:r>
    </w:p>
    <w:p w:rsidR="00F20F2B" w:rsidRPr="000D625A" w:rsidRDefault="00F20F2B" w:rsidP="00F20F2B">
      <w:pPr>
        <w:rPr>
          <w:szCs w:val="22"/>
          <w:lang w:val="nl-NL"/>
        </w:rPr>
      </w:pPr>
      <w:r w:rsidRPr="000D625A">
        <w:rPr>
          <w:szCs w:val="22"/>
          <w:lang w:val="nl-NL"/>
        </w:rPr>
        <w:t>2300 Kopenhagen S</w:t>
      </w:r>
    </w:p>
    <w:p w:rsidR="00F20F2B" w:rsidRPr="000D625A" w:rsidRDefault="00F20F2B" w:rsidP="00F20F2B">
      <w:pPr>
        <w:rPr>
          <w:szCs w:val="22"/>
          <w:lang w:val="nl-NL"/>
        </w:rPr>
      </w:pPr>
      <w:r w:rsidRPr="000D625A">
        <w:rPr>
          <w:szCs w:val="22"/>
          <w:lang w:val="nl-NL"/>
        </w:rPr>
        <w:t>Denemarken</w:t>
      </w:r>
    </w:p>
    <w:p w:rsidR="00812D16" w:rsidRPr="000D625A" w:rsidRDefault="00812D16" w:rsidP="00204AAB">
      <w:pPr>
        <w:spacing w:line="240" w:lineRule="auto"/>
        <w:rPr>
          <w:szCs w:val="22"/>
          <w:lang w:val="nl-NL"/>
        </w:rPr>
      </w:pPr>
    </w:p>
    <w:p w:rsidR="00812D16" w:rsidRPr="000D625A" w:rsidRDefault="00812D16" w:rsidP="00204AAB">
      <w:pPr>
        <w:spacing w:line="240" w:lineRule="auto"/>
        <w:rPr>
          <w:szCs w:val="22"/>
          <w:lang w:val="nl-NL"/>
        </w:rPr>
      </w:pPr>
    </w:p>
    <w:p w:rsidR="00812D16" w:rsidRPr="000D625A" w:rsidRDefault="00812D16" w:rsidP="00204AAB">
      <w:pPr>
        <w:spacing w:line="240" w:lineRule="auto"/>
        <w:ind w:left="567" w:hanging="567"/>
        <w:rPr>
          <w:b/>
          <w:szCs w:val="22"/>
          <w:lang w:val="nl-NL"/>
        </w:rPr>
      </w:pPr>
      <w:r w:rsidRPr="000D625A">
        <w:rPr>
          <w:b/>
          <w:bCs/>
          <w:szCs w:val="22"/>
          <w:lang w:val="nl-NL"/>
        </w:rPr>
        <w:t>8.</w:t>
      </w:r>
      <w:r w:rsidRPr="000D625A">
        <w:rPr>
          <w:b/>
          <w:bCs/>
          <w:szCs w:val="22"/>
          <w:lang w:val="nl-NL"/>
        </w:rPr>
        <w:tab/>
        <w:t>NUMMER(S) VAN DE VERGUNNING VOOR HET IN DE HANDEL BRENGEN</w:t>
      </w:r>
      <w:r w:rsidRPr="000D625A">
        <w:rPr>
          <w:szCs w:val="22"/>
          <w:lang w:val="nl-NL"/>
        </w:rPr>
        <w:t xml:space="preserve"> </w:t>
      </w:r>
    </w:p>
    <w:p w:rsidR="00812D16" w:rsidRDefault="00812D16" w:rsidP="00204AAB">
      <w:pPr>
        <w:spacing w:line="240" w:lineRule="auto"/>
        <w:rPr>
          <w:szCs w:val="22"/>
          <w:lang w:val="nl-NL"/>
        </w:rPr>
      </w:pPr>
    </w:p>
    <w:p w:rsidR="00EA65C5" w:rsidRPr="00ED2129" w:rsidRDefault="00EA65C5" w:rsidP="00EA65C5">
      <w:pPr>
        <w:rPr>
          <w:noProof/>
          <w:szCs w:val="22"/>
          <w:lang w:val="nl-NL"/>
        </w:rPr>
      </w:pPr>
      <w:r w:rsidRPr="00ED2129">
        <w:rPr>
          <w:noProof/>
          <w:szCs w:val="22"/>
          <w:lang w:val="nl-NL"/>
        </w:rPr>
        <w:t>EU/1/16/1150/001</w:t>
      </w:r>
    </w:p>
    <w:p w:rsidR="00EA65C5" w:rsidRPr="00ED2129" w:rsidRDefault="00EA65C5" w:rsidP="00EA65C5">
      <w:pPr>
        <w:rPr>
          <w:noProof/>
          <w:szCs w:val="22"/>
          <w:lang w:val="nl-NL"/>
        </w:rPr>
      </w:pPr>
      <w:r w:rsidRPr="00ED2129">
        <w:rPr>
          <w:noProof/>
          <w:szCs w:val="22"/>
          <w:lang w:val="nl-NL"/>
        </w:rPr>
        <w:t>EU/1/16/1150/002</w:t>
      </w:r>
    </w:p>
    <w:p w:rsidR="00EA65C5" w:rsidRPr="00ED2129" w:rsidRDefault="00EA65C5" w:rsidP="00EA65C5">
      <w:pPr>
        <w:rPr>
          <w:noProof/>
          <w:szCs w:val="22"/>
          <w:lang w:val="nl-NL"/>
        </w:rPr>
      </w:pPr>
      <w:r w:rsidRPr="00ED2129">
        <w:rPr>
          <w:noProof/>
          <w:szCs w:val="22"/>
          <w:lang w:val="nl-NL"/>
        </w:rPr>
        <w:t>EU/1/16/1150/003</w:t>
      </w:r>
    </w:p>
    <w:p w:rsidR="00EA65C5" w:rsidRPr="000D625A" w:rsidRDefault="00EA65C5" w:rsidP="00204AAB">
      <w:pPr>
        <w:spacing w:line="240" w:lineRule="auto"/>
        <w:rPr>
          <w:szCs w:val="22"/>
          <w:lang w:val="nl-NL"/>
        </w:rPr>
      </w:pPr>
    </w:p>
    <w:p w:rsidR="00A21492" w:rsidRPr="000D625A" w:rsidRDefault="00A21492" w:rsidP="00204AAB">
      <w:pPr>
        <w:spacing w:line="240" w:lineRule="auto"/>
        <w:rPr>
          <w:szCs w:val="22"/>
          <w:lang w:val="nl-NL"/>
        </w:rPr>
      </w:pPr>
    </w:p>
    <w:p w:rsidR="00812D16" w:rsidRPr="000D625A" w:rsidRDefault="00812D16" w:rsidP="00204AAB">
      <w:pPr>
        <w:spacing w:line="240" w:lineRule="auto"/>
        <w:ind w:left="567" w:hanging="567"/>
        <w:rPr>
          <w:szCs w:val="22"/>
          <w:lang w:val="nl-NL"/>
        </w:rPr>
      </w:pPr>
      <w:r w:rsidRPr="000D625A">
        <w:rPr>
          <w:b/>
          <w:bCs/>
          <w:szCs w:val="22"/>
          <w:lang w:val="nl-NL"/>
        </w:rPr>
        <w:t>9.</w:t>
      </w:r>
      <w:r w:rsidRPr="000D625A">
        <w:rPr>
          <w:b/>
          <w:bCs/>
          <w:szCs w:val="22"/>
          <w:lang w:val="nl-NL"/>
        </w:rPr>
        <w:tab/>
      </w:r>
      <w:r w:rsidR="00E950B7" w:rsidRPr="00E950B7">
        <w:rPr>
          <w:b/>
          <w:bCs/>
          <w:szCs w:val="22"/>
          <w:lang w:val="nl-NL"/>
        </w:rPr>
        <w:t>DATUM VAN EERSTE VERLENING VAN DE VERGUNNING/VERLENGING VAN DE VERGUNNING</w:t>
      </w:r>
    </w:p>
    <w:p w:rsidR="00812D16" w:rsidRPr="000D625A" w:rsidRDefault="00812D16" w:rsidP="00204AAB">
      <w:pPr>
        <w:spacing w:line="240" w:lineRule="auto"/>
        <w:rPr>
          <w:i/>
          <w:szCs w:val="22"/>
          <w:lang w:val="nl-NL"/>
        </w:rPr>
      </w:pPr>
    </w:p>
    <w:p w:rsidR="00812D16" w:rsidRPr="000D625A" w:rsidRDefault="00812D16" w:rsidP="00204AAB">
      <w:pPr>
        <w:spacing w:line="240" w:lineRule="auto"/>
        <w:rPr>
          <w:szCs w:val="22"/>
          <w:lang w:val="nl-NL"/>
        </w:rPr>
      </w:pPr>
      <w:r w:rsidRPr="000D625A">
        <w:rPr>
          <w:szCs w:val="22"/>
          <w:lang w:val="nl-NL"/>
        </w:rPr>
        <w:t xml:space="preserve">Datum van eerste verlening van de vergunning: </w:t>
      </w:r>
      <w:r w:rsidR="00C71C67">
        <w:rPr>
          <w:szCs w:val="22"/>
          <w:lang w:val="nl-NL"/>
        </w:rPr>
        <w:t>12 december 2016</w:t>
      </w:r>
    </w:p>
    <w:p w:rsidR="00812D16" w:rsidRPr="000D625A" w:rsidRDefault="00812D16" w:rsidP="00204AAB">
      <w:pPr>
        <w:spacing w:line="240" w:lineRule="auto"/>
        <w:rPr>
          <w:szCs w:val="22"/>
          <w:lang w:val="nl-NL"/>
        </w:rPr>
      </w:pPr>
    </w:p>
    <w:p w:rsidR="00812D16" w:rsidRPr="000D625A" w:rsidRDefault="00812D16" w:rsidP="00204AAB">
      <w:pPr>
        <w:spacing w:line="240" w:lineRule="auto"/>
        <w:rPr>
          <w:szCs w:val="22"/>
          <w:lang w:val="nl-NL"/>
        </w:rPr>
      </w:pPr>
    </w:p>
    <w:p w:rsidR="00812D16" w:rsidRPr="000D625A" w:rsidRDefault="00812D16" w:rsidP="0072565A">
      <w:pPr>
        <w:spacing w:line="240" w:lineRule="auto"/>
        <w:ind w:left="567" w:hanging="567"/>
        <w:rPr>
          <w:szCs w:val="22"/>
          <w:lang w:val="nl-NL"/>
        </w:rPr>
      </w:pPr>
      <w:r w:rsidRPr="000D625A">
        <w:rPr>
          <w:b/>
          <w:bCs/>
          <w:szCs w:val="22"/>
          <w:lang w:val="nl-NL"/>
        </w:rPr>
        <w:t>10.</w:t>
      </w:r>
      <w:r w:rsidRPr="000D625A">
        <w:rPr>
          <w:b/>
          <w:bCs/>
          <w:szCs w:val="22"/>
          <w:lang w:val="nl-NL"/>
        </w:rPr>
        <w:tab/>
        <w:t>DATUM VAN HERZIENING VAN DE TEKST</w:t>
      </w:r>
      <w:bookmarkStart w:id="1" w:name="_GoBack"/>
      <w:bookmarkEnd w:id="1"/>
    </w:p>
    <w:sectPr w:rsidR="00812D16" w:rsidRPr="000D625A" w:rsidSect="001374C5">
      <w:headerReference w:type="default" r:id="rId10"/>
      <w:footerReference w:type="default" r:id="rId11"/>
      <w:footerReference w:type="first" r:id="rId12"/>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7C" w:rsidRDefault="00C72D7C">
      <w:r>
        <w:separator/>
      </w:r>
    </w:p>
  </w:endnote>
  <w:endnote w:type="continuationSeparator" w:id="0">
    <w:p w:rsidR="00C72D7C" w:rsidRDefault="00C72D7C">
      <w:r>
        <w:continuationSeparator/>
      </w:r>
    </w:p>
  </w:endnote>
  <w:endnote w:type="continuationNotice" w:id="1">
    <w:p w:rsidR="00C72D7C" w:rsidRDefault="00C72D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B60" w:rsidRDefault="00F32B60">
    <w:pPr>
      <w:pStyle w:val="Footer"/>
      <w:tabs>
        <w:tab w:val="right" w:pos="8931"/>
      </w:tabs>
      <w:ind w:right="96"/>
      <w:jc w:val="center"/>
    </w:pPr>
    <w:r>
      <w:rPr>
        <w:lang w:val="nl-NL"/>
      </w:rPr>
      <w:fldChar w:fldCharType="begin"/>
    </w:r>
    <w:r>
      <w:rPr>
        <w:lang w:val="nl-NL"/>
      </w:rPr>
      <w:instrText xml:space="preserve"> EQ </w:instrText>
    </w:r>
    <w:r>
      <w:rPr>
        <w:lang w:val="nl-NL"/>
      </w:rPr>
      <w:fldChar w:fldCharType="end"/>
    </w:r>
    <w:r>
      <w:rPr>
        <w:rStyle w:val="PageNumber"/>
        <w:rFonts w:cs="Arial"/>
        <w:lang w:val="nl-NL"/>
      </w:rPr>
      <w:fldChar w:fldCharType="begin"/>
    </w:r>
    <w:r>
      <w:rPr>
        <w:rStyle w:val="PageNumber"/>
        <w:rFonts w:cs="Arial"/>
        <w:lang w:val="nl-NL"/>
      </w:rPr>
      <w:instrText xml:space="preserve">PAGE  </w:instrText>
    </w:r>
    <w:r>
      <w:rPr>
        <w:rStyle w:val="PageNumber"/>
        <w:rFonts w:cs="Arial"/>
        <w:lang w:val="nl-NL"/>
      </w:rPr>
      <w:fldChar w:fldCharType="separate"/>
    </w:r>
    <w:r w:rsidR="00C71C67">
      <w:rPr>
        <w:rStyle w:val="PageNumber"/>
        <w:rFonts w:cs="Arial"/>
        <w:lang w:val="nl-NL"/>
      </w:rPr>
      <w:t>12</w:t>
    </w:r>
    <w:r>
      <w:rPr>
        <w:rStyle w:val="PageNumber"/>
        <w:rFonts w:cs="Arial"/>
        <w:lang w:val="nl-N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B60" w:rsidRDefault="00F32B60">
    <w:pPr>
      <w:pStyle w:val="Footer"/>
      <w:tabs>
        <w:tab w:val="right" w:pos="8931"/>
      </w:tabs>
      <w:ind w:right="96"/>
      <w:jc w:val="center"/>
    </w:pPr>
    <w:r>
      <w:rPr>
        <w:lang w:val="nl-NL"/>
      </w:rPr>
      <w:fldChar w:fldCharType="begin"/>
    </w:r>
    <w:r>
      <w:rPr>
        <w:lang w:val="nl-NL"/>
      </w:rPr>
      <w:instrText xml:space="preserve"> EQ </w:instrText>
    </w:r>
    <w:r>
      <w:rPr>
        <w:lang w:val="nl-NL"/>
      </w:rPr>
      <w:fldChar w:fldCharType="end"/>
    </w:r>
    <w:r>
      <w:rPr>
        <w:rStyle w:val="PageNumber"/>
        <w:rFonts w:cs="Arial"/>
        <w:lang w:val="nl-NL"/>
      </w:rPr>
      <w:fldChar w:fldCharType="begin"/>
    </w:r>
    <w:r>
      <w:rPr>
        <w:rStyle w:val="PageNumber"/>
        <w:rFonts w:cs="Arial"/>
        <w:lang w:val="nl-NL"/>
      </w:rPr>
      <w:instrText xml:space="preserve">PAGE  </w:instrText>
    </w:r>
    <w:r>
      <w:rPr>
        <w:rStyle w:val="PageNumber"/>
        <w:rFonts w:cs="Arial"/>
        <w:lang w:val="nl-NL"/>
      </w:rPr>
      <w:fldChar w:fldCharType="separate"/>
    </w:r>
    <w:r w:rsidR="00C71C67">
      <w:rPr>
        <w:rStyle w:val="PageNumber"/>
        <w:rFonts w:cs="Arial"/>
        <w:lang w:val="nl-NL"/>
      </w:rPr>
      <w:t>1</w:t>
    </w:r>
    <w:r>
      <w:rPr>
        <w:rStyle w:val="PageNumber"/>
        <w:rFonts w:cs="Arial"/>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7C" w:rsidRDefault="00C72D7C">
      <w:r>
        <w:separator/>
      </w:r>
    </w:p>
  </w:footnote>
  <w:footnote w:type="continuationSeparator" w:id="0">
    <w:p w:rsidR="00C72D7C" w:rsidRDefault="00C72D7C">
      <w:r>
        <w:continuationSeparator/>
      </w:r>
    </w:p>
  </w:footnote>
  <w:footnote w:type="continuationNotice" w:id="1">
    <w:p w:rsidR="00C72D7C" w:rsidRDefault="00C72D7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2D7C" w:rsidRDefault="00C72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F9E0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D782DC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4590322"/>
    <w:multiLevelType w:val="singleLevel"/>
    <w:tmpl w:val="A8F43FF2"/>
    <w:lvl w:ilvl="0">
      <w:start w:val="1"/>
      <w:numFmt w:val="decimal"/>
      <w:lvlText w:val="Afbeelding: %1. "/>
      <w:lvlJc w:val="left"/>
      <w:pPr>
        <w:tabs>
          <w:tab w:val="num" w:pos="1080"/>
        </w:tabs>
        <w:ind w:left="360" w:hanging="360"/>
      </w:pPr>
    </w:lvl>
  </w:abstractNum>
  <w:abstractNum w:abstractNumId="5"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4E0244"/>
    <w:multiLevelType w:val="hybridMultilevel"/>
    <w:tmpl w:val="178233DC"/>
    <w:lvl w:ilvl="0" w:tplc="2EAE36D6">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8D7063"/>
    <w:multiLevelType w:val="hybridMultilevel"/>
    <w:tmpl w:val="969A28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24E63ED2"/>
    <w:multiLevelType w:val="hybridMultilevel"/>
    <w:tmpl w:val="7A78D476"/>
    <w:lvl w:ilvl="0" w:tplc="76504D0C">
      <w:start w:val="1"/>
      <w:numFmt w:val="bullet"/>
      <w:lvlText w:val=""/>
      <w:lvlJc w:val="left"/>
      <w:pPr>
        <w:tabs>
          <w:tab w:val="num" w:pos="360"/>
        </w:tabs>
        <w:ind w:left="36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5"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15375A2"/>
    <w:multiLevelType w:val="hybridMultilevel"/>
    <w:tmpl w:val="2320D0BC"/>
    <w:lvl w:ilvl="0" w:tplc="FFFFFFFF">
      <w:start w:val="1"/>
      <w:numFmt w:val="bullet"/>
      <w:lvlText w:val="-"/>
      <w:lvlJc w:val="left"/>
      <w:pPr>
        <w:ind w:left="720" w:hanging="360"/>
      </w:p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0"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1"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4"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F111F8"/>
    <w:multiLevelType w:val="hybridMultilevel"/>
    <w:tmpl w:val="5EC4DB88"/>
    <w:lvl w:ilvl="0" w:tplc="AD3ED474">
      <w:start w:val="1"/>
      <w:numFmt w:val="bullet"/>
      <w:lvlText w:val=""/>
      <w:lvlJc w:val="left"/>
      <w:pPr>
        <w:ind w:left="502" w:hanging="360"/>
      </w:pPr>
      <w:rPr>
        <w:rFonts w:ascii="Symbol" w:hAnsi="Symbol" w:hint="default"/>
        <w:sz w:val="18"/>
      </w:rPr>
    </w:lvl>
    <w:lvl w:ilvl="1" w:tplc="04060003" w:tentative="1">
      <w:start w:val="1"/>
      <w:numFmt w:val="bullet"/>
      <w:lvlText w:val="o"/>
      <w:lvlJc w:val="left"/>
      <w:pPr>
        <w:ind w:left="1222" w:hanging="360"/>
      </w:pPr>
      <w:rPr>
        <w:rFonts w:ascii="Courier New" w:hAnsi="Courier New" w:cs="Courier New" w:hint="default"/>
      </w:rPr>
    </w:lvl>
    <w:lvl w:ilvl="2" w:tplc="04060005" w:tentative="1">
      <w:start w:val="1"/>
      <w:numFmt w:val="bullet"/>
      <w:lvlText w:val=""/>
      <w:lvlJc w:val="left"/>
      <w:pPr>
        <w:ind w:left="1942" w:hanging="360"/>
      </w:pPr>
      <w:rPr>
        <w:rFonts w:ascii="Wingdings" w:hAnsi="Wingdings" w:hint="default"/>
      </w:rPr>
    </w:lvl>
    <w:lvl w:ilvl="3" w:tplc="04060001" w:tentative="1">
      <w:start w:val="1"/>
      <w:numFmt w:val="bullet"/>
      <w:lvlText w:val=""/>
      <w:lvlJc w:val="left"/>
      <w:pPr>
        <w:ind w:left="2662" w:hanging="360"/>
      </w:pPr>
      <w:rPr>
        <w:rFonts w:ascii="Symbol" w:hAnsi="Symbol" w:hint="default"/>
      </w:rPr>
    </w:lvl>
    <w:lvl w:ilvl="4" w:tplc="04060003" w:tentative="1">
      <w:start w:val="1"/>
      <w:numFmt w:val="bullet"/>
      <w:lvlText w:val="o"/>
      <w:lvlJc w:val="left"/>
      <w:pPr>
        <w:ind w:left="3382" w:hanging="360"/>
      </w:pPr>
      <w:rPr>
        <w:rFonts w:ascii="Courier New" w:hAnsi="Courier New" w:cs="Courier New" w:hint="default"/>
      </w:rPr>
    </w:lvl>
    <w:lvl w:ilvl="5" w:tplc="04060005" w:tentative="1">
      <w:start w:val="1"/>
      <w:numFmt w:val="bullet"/>
      <w:lvlText w:val=""/>
      <w:lvlJc w:val="left"/>
      <w:pPr>
        <w:ind w:left="4102" w:hanging="360"/>
      </w:pPr>
      <w:rPr>
        <w:rFonts w:ascii="Wingdings" w:hAnsi="Wingdings" w:hint="default"/>
      </w:rPr>
    </w:lvl>
    <w:lvl w:ilvl="6" w:tplc="04060001" w:tentative="1">
      <w:start w:val="1"/>
      <w:numFmt w:val="bullet"/>
      <w:lvlText w:val=""/>
      <w:lvlJc w:val="left"/>
      <w:pPr>
        <w:ind w:left="4822" w:hanging="360"/>
      </w:pPr>
      <w:rPr>
        <w:rFonts w:ascii="Symbol" w:hAnsi="Symbol" w:hint="default"/>
      </w:rPr>
    </w:lvl>
    <w:lvl w:ilvl="7" w:tplc="04060003" w:tentative="1">
      <w:start w:val="1"/>
      <w:numFmt w:val="bullet"/>
      <w:lvlText w:val="o"/>
      <w:lvlJc w:val="left"/>
      <w:pPr>
        <w:ind w:left="5542" w:hanging="360"/>
      </w:pPr>
      <w:rPr>
        <w:rFonts w:ascii="Courier New" w:hAnsi="Courier New" w:cs="Courier New" w:hint="default"/>
      </w:rPr>
    </w:lvl>
    <w:lvl w:ilvl="8" w:tplc="04060005" w:tentative="1">
      <w:start w:val="1"/>
      <w:numFmt w:val="bullet"/>
      <w:lvlText w:val=""/>
      <w:lvlJc w:val="left"/>
      <w:pPr>
        <w:ind w:left="6262" w:hanging="360"/>
      </w:pPr>
      <w:rPr>
        <w:rFonts w:ascii="Wingdings" w:hAnsi="Wingdings" w:hint="default"/>
      </w:rPr>
    </w:lvl>
  </w:abstractNum>
  <w:abstractNum w:abstractNumId="26" w15:restartNumberingAfterBreak="0">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260494"/>
    <w:multiLevelType w:val="hybridMultilevel"/>
    <w:tmpl w:val="A650DD3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F45446"/>
    <w:multiLevelType w:val="hybridMultilevel"/>
    <w:tmpl w:val="B2B2089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9"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C870D5C"/>
    <w:multiLevelType w:val="hybridMultilevel"/>
    <w:tmpl w:val="7E449450"/>
    <w:lvl w:ilvl="0" w:tplc="20E6692A">
      <w:numFmt w:val="bullet"/>
      <w:lvlText w:val="•"/>
      <w:lvlJc w:val="left"/>
      <w:pPr>
        <w:ind w:left="712" w:hanging="585"/>
      </w:pPr>
      <w:rPr>
        <w:rFonts w:ascii="Verdana" w:eastAsia="SimSun" w:hAnsi="Verdana" w:cs="Verdana" w:hint="default"/>
      </w:rPr>
    </w:lvl>
    <w:lvl w:ilvl="1" w:tplc="04130003" w:tentative="1">
      <w:start w:val="1"/>
      <w:numFmt w:val="bullet"/>
      <w:lvlText w:val="o"/>
      <w:lvlJc w:val="left"/>
      <w:pPr>
        <w:ind w:left="1207" w:hanging="360"/>
      </w:pPr>
      <w:rPr>
        <w:rFonts w:ascii="Courier New" w:hAnsi="Courier New" w:cs="Courier New" w:hint="default"/>
      </w:rPr>
    </w:lvl>
    <w:lvl w:ilvl="2" w:tplc="04130005" w:tentative="1">
      <w:start w:val="1"/>
      <w:numFmt w:val="bullet"/>
      <w:lvlText w:val=""/>
      <w:lvlJc w:val="left"/>
      <w:pPr>
        <w:ind w:left="1927" w:hanging="360"/>
      </w:pPr>
      <w:rPr>
        <w:rFonts w:ascii="Wingdings" w:hAnsi="Wingdings" w:hint="default"/>
      </w:rPr>
    </w:lvl>
    <w:lvl w:ilvl="3" w:tplc="04130001" w:tentative="1">
      <w:start w:val="1"/>
      <w:numFmt w:val="bullet"/>
      <w:lvlText w:val=""/>
      <w:lvlJc w:val="left"/>
      <w:pPr>
        <w:ind w:left="2647" w:hanging="360"/>
      </w:pPr>
      <w:rPr>
        <w:rFonts w:ascii="Symbol" w:hAnsi="Symbol" w:hint="default"/>
      </w:rPr>
    </w:lvl>
    <w:lvl w:ilvl="4" w:tplc="04130003" w:tentative="1">
      <w:start w:val="1"/>
      <w:numFmt w:val="bullet"/>
      <w:lvlText w:val="o"/>
      <w:lvlJc w:val="left"/>
      <w:pPr>
        <w:ind w:left="3367" w:hanging="360"/>
      </w:pPr>
      <w:rPr>
        <w:rFonts w:ascii="Courier New" w:hAnsi="Courier New" w:cs="Courier New" w:hint="default"/>
      </w:rPr>
    </w:lvl>
    <w:lvl w:ilvl="5" w:tplc="04130005" w:tentative="1">
      <w:start w:val="1"/>
      <w:numFmt w:val="bullet"/>
      <w:lvlText w:val=""/>
      <w:lvlJc w:val="left"/>
      <w:pPr>
        <w:ind w:left="4087" w:hanging="360"/>
      </w:pPr>
      <w:rPr>
        <w:rFonts w:ascii="Wingdings" w:hAnsi="Wingdings" w:hint="default"/>
      </w:rPr>
    </w:lvl>
    <w:lvl w:ilvl="6" w:tplc="04130001" w:tentative="1">
      <w:start w:val="1"/>
      <w:numFmt w:val="bullet"/>
      <w:lvlText w:val=""/>
      <w:lvlJc w:val="left"/>
      <w:pPr>
        <w:ind w:left="4807" w:hanging="360"/>
      </w:pPr>
      <w:rPr>
        <w:rFonts w:ascii="Symbol" w:hAnsi="Symbol" w:hint="default"/>
      </w:rPr>
    </w:lvl>
    <w:lvl w:ilvl="7" w:tplc="04130003" w:tentative="1">
      <w:start w:val="1"/>
      <w:numFmt w:val="bullet"/>
      <w:lvlText w:val="o"/>
      <w:lvlJc w:val="left"/>
      <w:pPr>
        <w:ind w:left="5527" w:hanging="360"/>
      </w:pPr>
      <w:rPr>
        <w:rFonts w:ascii="Courier New" w:hAnsi="Courier New" w:cs="Courier New" w:hint="default"/>
      </w:rPr>
    </w:lvl>
    <w:lvl w:ilvl="8" w:tplc="04130005" w:tentative="1">
      <w:start w:val="1"/>
      <w:numFmt w:val="bullet"/>
      <w:lvlText w:val=""/>
      <w:lvlJc w:val="left"/>
      <w:pPr>
        <w:ind w:left="6247" w:hanging="360"/>
      </w:pPr>
      <w:rPr>
        <w:rFonts w:ascii="Wingdings" w:hAnsi="Wingdings" w:hint="default"/>
      </w:rPr>
    </w:lvl>
  </w:abstractNum>
  <w:num w:numId="1">
    <w:abstractNumId w:val="4"/>
  </w:num>
  <w:num w:numId="2">
    <w:abstractNumId w:val="19"/>
  </w:num>
  <w:num w:numId="3">
    <w:abstractNumId w:val="2"/>
    <w:lvlOverride w:ilvl="0">
      <w:lvl w:ilvl="0">
        <w:start w:val="1"/>
        <w:numFmt w:val="bullet"/>
        <w:lvlText w:val="-"/>
        <w:legacy w:legacy="1" w:legacySpace="0" w:legacyIndent="360"/>
        <w:lvlJc w:val="left"/>
        <w:pPr>
          <w:ind w:left="360" w:hanging="360"/>
        </w:pPr>
      </w:lvl>
    </w:lvlOverride>
  </w:num>
  <w:num w:numId="4">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0"/>
  </w:num>
  <w:num w:numId="6">
    <w:abstractNumId w:val="16"/>
  </w:num>
  <w:num w:numId="7">
    <w:abstractNumId w:val="11"/>
  </w:num>
  <w:num w:numId="8">
    <w:abstractNumId w:val="13"/>
  </w:num>
  <w:num w:numId="9">
    <w:abstractNumId w:val="26"/>
  </w:num>
  <w:num w:numId="10">
    <w:abstractNumId w:val="3"/>
  </w:num>
  <w:num w:numId="11">
    <w:abstractNumId w:val="22"/>
  </w:num>
  <w:num w:numId="12">
    <w:abstractNumId w:val="12"/>
  </w:num>
  <w:num w:numId="13">
    <w:abstractNumId w:val="8"/>
  </w:num>
  <w:num w:numId="14">
    <w:abstractNumId w:val="5"/>
  </w:num>
  <w:num w:numId="15">
    <w:abstractNumId w:val="2"/>
    <w:lvlOverride w:ilvl="0">
      <w:lvl w:ilvl="0">
        <w:start w:val="1"/>
        <w:numFmt w:val="bullet"/>
        <w:lvlText w:val="-"/>
        <w:legacy w:legacy="1" w:legacySpace="0" w:legacyIndent="360"/>
        <w:lvlJc w:val="left"/>
        <w:pPr>
          <w:ind w:left="360" w:hanging="360"/>
        </w:pPr>
      </w:lvl>
    </w:lvlOverride>
  </w:num>
  <w:num w:numId="16">
    <w:abstractNumId w:val="23"/>
  </w:num>
  <w:num w:numId="17">
    <w:abstractNumId w:val="14"/>
  </w:num>
  <w:num w:numId="18">
    <w:abstractNumId w:val="15"/>
  </w:num>
  <w:num w:numId="19">
    <w:abstractNumId w:val="29"/>
  </w:num>
  <w:num w:numId="20">
    <w:abstractNumId w:val="18"/>
  </w:num>
  <w:num w:numId="21">
    <w:abstractNumId w:val="24"/>
  </w:num>
  <w:num w:numId="22">
    <w:abstractNumId w:val="21"/>
  </w:num>
  <w:num w:numId="23">
    <w:abstractNumId w:val="10"/>
  </w:num>
  <w:num w:numId="24">
    <w:abstractNumId w:val="24"/>
  </w:num>
  <w:num w:numId="25">
    <w:abstractNumId w:val="5"/>
  </w:num>
  <w:num w:numId="26">
    <w:abstractNumId w:val="25"/>
  </w:num>
  <w:num w:numId="27">
    <w:abstractNumId w:val="6"/>
  </w:num>
  <w:num w:numId="28">
    <w:abstractNumId w:val="7"/>
  </w:num>
  <w:num w:numId="29">
    <w:abstractNumId w:val="27"/>
  </w:num>
  <w:num w:numId="30">
    <w:abstractNumId w:val="9"/>
  </w:num>
  <w:num w:numId="31">
    <w:abstractNumId w:val="1"/>
  </w:num>
  <w:num w:numId="32">
    <w:abstractNumId w:val="28"/>
  </w:num>
  <w:num w:numId="33">
    <w:abstractNumId w:val="0"/>
  </w:num>
  <w:num w:numId="34">
    <w:abstractNumId w:val="3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istered" w:val="-1"/>
    <w:docVar w:name="Version" w:val="0"/>
  </w:docVars>
  <w:rsids>
    <w:rsidRoot w:val="00812D16"/>
    <w:rsid w:val="00000D62"/>
    <w:rsid w:val="00001587"/>
    <w:rsid w:val="0000362A"/>
    <w:rsid w:val="00005701"/>
    <w:rsid w:val="00007528"/>
    <w:rsid w:val="000106F9"/>
    <w:rsid w:val="00010922"/>
    <w:rsid w:val="0001164F"/>
    <w:rsid w:val="00014869"/>
    <w:rsid w:val="00014C91"/>
    <w:rsid w:val="000150D3"/>
    <w:rsid w:val="00015A86"/>
    <w:rsid w:val="000166C1"/>
    <w:rsid w:val="0002006B"/>
    <w:rsid w:val="00020AE8"/>
    <w:rsid w:val="00020FC4"/>
    <w:rsid w:val="000212BB"/>
    <w:rsid w:val="00023753"/>
    <w:rsid w:val="00023A2C"/>
    <w:rsid w:val="00025EBE"/>
    <w:rsid w:val="00026BAB"/>
    <w:rsid w:val="00026BF2"/>
    <w:rsid w:val="00026CCA"/>
    <w:rsid w:val="000271F6"/>
    <w:rsid w:val="00030445"/>
    <w:rsid w:val="000317CB"/>
    <w:rsid w:val="0003184E"/>
    <w:rsid w:val="000318C7"/>
    <w:rsid w:val="00033D26"/>
    <w:rsid w:val="00033D9E"/>
    <w:rsid w:val="00033FDB"/>
    <w:rsid w:val="000344F6"/>
    <w:rsid w:val="00034FB7"/>
    <w:rsid w:val="00042263"/>
    <w:rsid w:val="00043505"/>
    <w:rsid w:val="00043C70"/>
    <w:rsid w:val="00043E88"/>
    <w:rsid w:val="00043E99"/>
    <w:rsid w:val="00044042"/>
    <w:rsid w:val="00046AEB"/>
    <w:rsid w:val="000474D2"/>
    <w:rsid w:val="000479C5"/>
    <w:rsid w:val="00050DFD"/>
    <w:rsid w:val="00053809"/>
    <w:rsid w:val="00053914"/>
    <w:rsid w:val="00054756"/>
    <w:rsid w:val="000560C5"/>
    <w:rsid w:val="000561FB"/>
    <w:rsid w:val="00056C49"/>
    <w:rsid w:val="00056FE0"/>
    <w:rsid w:val="000603C8"/>
    <w:rsid w:val="000608A4"/>
    <w:rsid w:val="00060AA1"/>
    <w:rsid w:val="000631FD"/>
    <w:rsid w:val="000643D3"/>
    <w:rsid w:val="00065E9C"/>
    <w:rsid w:val="000661D8"/>
    <w:rsid w:val="000673CD"/>
    <w:rsid w:val="00067B16"/>
    <w:rsid w:val="00071CE3"/>
    <w:rsid w:val="00071F8A"/>
    <w:rsid w:val="00072068"/>
    <w:rsid w:val="00073E04"/>
    <w:rsid w:val="0007401B"/>
    <w:rsid w:val="00075A9C"/>
    <w:rsid w:val="0007628D"/>
    <w:rsid w:val="0007768B"/>
    <w:rsid w:val="00081DAB"/>
    <w:rsid w:val="00084A48"/>
    <w:rsid w:val="00085743"/>
    <w:rsid w:val="00086BA9"/>
    <w:rsid w:val="00092829"/>
    <w:rsid w:val="00092B09"/>
    <w:rsid w:val="0009351E"/>
    <w:rsid w:val="000939D2"/>
    <w:rsid w:val="0009479A"/>
    <w:rsid w:val="00094AD6"/>
    <w:rsid w:val="00095D61"/>
    <w:rsid w:val="00095E44"/>
    <w:rsid w:val="00096D8D"/>
    <w:rsid w:val="0009755A"/>
    <w:rsid w:val="000A1232"/>
    <w:rsid w:val="000A183B"/>
    <w:rsid w:val="000A30E5"/>
    <w:rsid w:val="000A40D0"/>
    <w:rsid w:val="000B0097"/>
    <w:rsid w:val="000B101F"/>
    <w:rsid w:val="000B1F4B"/>
    <w:rsid w:val="000B25E5"/>
    <w:rsid w:val="000B2F27"/>
    <w:rsid w:val="000B2F58"/>
    <w:rsid w:val="000B37A8"/>
    <w:rsid w:val="000B51D9"/>
    <w:rsid w:val="000B665D"/>
    <w:rsid w:val="000C03FB"/>
    <w:rsid w:val="000C308F"/>
    <w:rsid w:val="000C5A4E"/>
    <w:rsid w:val="000C5ADD"/>
    <w:rsid w:val="000C635D"/>
    <w:rsid w:val="000C7F49"/>
    <w:rsid w:val="000D1AEE"/>
    <w:rsid w:val="000D1F4F"/>
    <w:rsid w:val="000D395C"/>
    <w:rsid w:val="000D4D07"/>
    <w:rsid w:val="000D625A"/>
    <w:rsid w:val="000D7535"/>
    <w:rsid w:val="000E165D"/>
    <w:rsid w:val="000E1BAF"/>
    <w:rsid w:val="000E223E"/>
    <w:rsid w:val="000E2491"/>
    <w:rsid w:val="000E2EA9"/>
    <w:rsid w:val="000E46A3"/>
    <w:rsid w:val="000E4E88"/>
    <w:rsid w:val="000E4F71"/>
    <w:rsid w:val="000E5726"/>
    <w:rsid w:val="000E6C94"/>
    <w:rsid w:val="000F0736"/>
    <w:rsid w:val="000F1BB2"/>
    <w:rsid w:val="000F217A"/>
    <w:rsid w:val="000F3F94"/>
    <w:rsid w:val="000F4B7F"/>
    <w:rsid w:val="000F5235"/>
    <w:rsid w:val="000F58FB"/>
    <w:rsid w:val="000F5B21"/>
    <w:rsid w:val="000F73C8"/>
    <w:rsid w:val="00103501"/>
    <w:rsid w:val="00103B2D"/>
    <w:rsid w:val="00103CD2"/>
    <w:rsid w:val="00104061"/>
    <w:rsid w:val="00107236"/>
    <w:rsid w:val="001101A2"/>
    <w:rsid w:val="001106F7"/>
    <w:rsid w:val="001108A9"/>
    <w:rsid w:val="001108EB"/>
    <w:rsid w:val="00112EDA"/>
    <w:rsid w:val="00114174"/>
    <w:rsid w:val="00117C1D"/>
    <w:rsid w:val="00123688"/>
    <w:rsid w:val="00127F47"/>
    <w:rsid w:val="001310FB"/>
    <w:rsid w:val="00133572"/>
    <w:rsid w:val="001364FB"/>
    <w:rsid w:val="001365F2"/>
    <w:rsid w:val="00136D7A"/>
    <w:rsid w:val="001374C5"/>
    <w:rsid w:val="00141470"/>
    <w:rsid w:val="00141540"/>
    <w:rsid w:val="001449DF"/>
    <w:rsid w:val="00145618"/>
    <w:rsid w:val="0014569B"/>
    <w:rsid w:val="001470E0"/>
    <w:rsid w:val="00150060"/>
    <w:rsid w:val="00154C69"/>
    <w:rsid w:val="0015704C"/>
    <w:rsid w:val="00157895"/>
    <w:rsid w:val="00161701"/>
    <w:rsid w:val="00161E87"/>
    <w:rsid w:val="0016566C"/>
    <w:rsid w:val="00165F64"/>
    <w:rsid w:val="001727F0"/>
    <w:rsid w:val="00172B06"/>
    <w:rsid w:val="0017347E"/>
    <w:rsid w:val="001752D8"/>
    <w:rsid w:val="00175931"/>
    <w:rsid w:val="00176B25"/>
    <w:rsid w:val="0018238B"/>
    <w:rsid w:val="00183419"/>
    <w:rsid w:val="0018394A"/>
    <w:rsid w:val="00184DCC"/>
    <w:rsid w:val="00186129"/>
    <w:rsid w:val="00186A9D"/>
    <w:rsid w:val="001874A6"/>
    <w:rsid w:val="0018765B"/>
    <w:rsid w:val="00190913"/>
    <w:rsid w:val="001913C8"/>
    <w:rsid w:val="0019236A"/>
    <w:rsid w:val="00193B21"/>
    <w:rsid w:val="00193BCB"/>
    <w:rsid w:val="00193DD3"/>
    <w:rsid w:val="001948AA"/>
    <w:rsid w:val="00195F65"/>
    <w:rsid w:val="001962D7"/>
    <w:rsid w:val="001A07E2"/>
    <w:rsid w:val="001A0A5D"/>
    <w:rsid w:val="001A2018"/>
    <w:rsid w:val="001A56F1"/>
    <w:rsid w:val="001A5D0E"/>
    <w:rsid w:val="001B01C8"/>
    <w:rsid w:val="001B0B52"/>
    <w:rsid w:val="001B13F6"/>
    <w:rsid w:val="001B1747"/>
    <w:rsid w:val="001B2D44"/>
    <w:rsid w:val="001B752A"/>
    <w:rsid w:val="001C12FB"/>
    <w:rsid w:val="001C2DB4"/>
    <w:rsid w:val="001C2FB5"/>
    <w:rsid w:val="001C3228"/>
    <w:rsid w:val="001C35E9"/>
    <w:rsid w:val="001C36BD"/>
    <w:rsid w:val="001C3733"/>
    <w:rsid w:val="001C49B3"/>
    <w:rsid w:val="001C5B30"/>
    <w:rsid w:val="001C5F47"/>
    <w:rsid w:val="001D2953"/>
    <w:rsid w:val="001D3C05"/>
    <w:rsid w:val="001D6AF4"/>
    <w:rsid w:val="001D7DD2"/>
    <w:rsid w:val="001E0CC1"/>
    <w:rsid w:val="001E1C10"/>
    <w:rsid w:val="001E3CC0"/>
    <w:rsid w:val="001E77C3"/>
    <w:rsid w:val="001F090B"/>
    <w:rsid w:val="001F180A"/>
    <w:rsid w:val="001F1A28"/>
    <w:rsid w:val="001F1AD0"/>
    <w:rsid w:val="001F35E8"/>
    <w:rsid w:val="001F4014"/>
    <w:rsid w:val="001F445E"/>
    <w:rsid w:val="001F5280"/>
    <w:rsid w:val="001F6423"/>
    <w:rsid w:val="001F7ED9"/>
    <w:rsid w:val="00201213"/>
    <w:rsid w:val="0020165E"/>
    <w:rsid w:val="0020272E"/>
    <w:rsid w:val="0020288A"/>
    <w:rsid w:val="00202E50"/>
    <w:rsid w:val="00204AAB"/>
    <w:rsid w:val="00205180"/>
    <w:rsid w:val="00207F81"/>
    <w:rsid w:val="002109F4"/>
    <w:rsid w:val="00211FDA"/>
    <w:rsid w:val="00215FDA"/>
    <w:rsid w:val="002160C2"/>
    <w:rsid w:val="00221B74"/>
    <w:rsid w:val="0022245B"/>
    <w:rsid w:val="00222BB9"/>
    <w:rsid w:val="00222CD8"/>
    <w:rsid w:val="00223EED"/>
    <w:rsid w:val="002258D6"/>
    <w:rsid w:val="00226792"/>
    <w:rsid w:val="002274FB"/>
    <w:rsid w:val="00227BCD"/>
    <w:rsid w:val="002309D2"/>
    <w:rsid w:val="00230C1E"/>
    <w:rsid w:val="00231B61"/>
    <w:rsid w:val="0023315B"/>
    <w:rsid w:val="00234112"/>
    <w:rsid w:val="002347FE"/>
    <w:rsid w:val="00235226"/>
    <w:rsid w:val="0024012C"/>
    <w:rsid w:val="0024178D"/>
    <w:rsid w:val="0024392B"/>
    <w:rsid w:val="002450C6"/>
    <w:rsid w:val="00245DCF"/>
    <w:rsid w:val="00246C65"/>
    <w:rsid w:val="0024721F"/>
    <w:rsid w:val="0025103D"/>
    <w:rsid w:val="00251A10"/>
    <w:rsid w:val="00252BFF"/>
    <w:rsid w:val="00253732"/>
    <w:rsid w:val="002542A8"/>
    <w:rsid w:val="002551F0"/>
    <w:rsid w:val="002609BB"/>
    <w:rsid w:val="00260A11"/>
    <w:rsid w:val="0026169A"/>
    <w:rsid w:val="00261928"/>
    <w:rsid w:val="00262763"/>
    <w:rsid w:val="002649C8"/>
    <w:rsid w:val="00264BEA"/>
    <w:rsid w:val="00267850"/>
    <w:rsid w:val="00270A20"/>
    <w:rsid w:val="00271032"/>
    <w:rsid w:val="00271C99"/>
    <w:rsid w:val="00273E3E"/>
    <w:rsid w:val="00274147"/>
    <w:rsid w:val="00275189"/>
    <w:rsid w:val="002756DC"/>
    <w:rsid w:val="00276412"/>
    <w:rsid w:val="00276437"/>
    <w:rsid w:val="00280053"/>
    <w:rsid w:val="0028063F"/>
    <w:rsid w:val="00280740"/>
    <w:rsid w:val="00282AFA"/>
    <w:rsid w:val="00283B02"/>
    <w:rsid w:val="00283C5D"/>
    <w:rsid w:val="002844B0"/>
    <w:rsid w:val="00285467"/>
    <w:rsid w:val="00286322"/>
    <w:rsid w:val="00287F51"/>
    <w:rsid w:val="0029005E"/>
    <w:rsid w:val="0029195A"/>
    <w:rsid w:val="00292F2F"/>
    <w:rsid w:val="00294C06"/>
    <w:rsid w:val="00296B03"/>
    <w:rsid w:val="00296B9D"/>
    <w:rsid w:val="00296C1F"/>
    <w:rsid w:val="002A12E9"/>
    <w:rsid w:val="002A17D2"/>
    <w:rsid w:val="002A41E6"/>
    <w:rsid w:val="002A44C8"/>
    <w:rsid w:val="002A5E48"/>
    <w:rsid w:val="002A64C9"/>
    <w:rsid w:val="002A7A70"/>
    <w:rsid w:val="002B0059"/>
    <w:rsid w:val="002B0455"/>
    <w:rsid w:val="002B261C"/>
    <w:rsid w:val="002B2BEE"/>
    <w:rsid w:val="002B35C5"/>
    <w:rsid w:val="002B3935"/>
    <w:rsid w:val="002B406A"/>
    <w:rsid w:val="002B41D4"/>
    <w:rsid w:val="002B543F"/>
    <w:rsid w:val="002B5AB0"/>
    <w:rsid w:val="002B6165"/>
    <w:rsid w:val="002B7D73"/>
    <w:rsid w:val="002C02EF"/>
    <w:rsid w:val="002C06E3"/>
    <w:rsid w:val="002C0801"/>
    <w:rsid w:val="002C145F"/>
    <w:rsid w:val="002C33B3"/>
    <w:rsid w:val="002C44B0"/>
    <w:rsid w:val="002C4E07"/>
    <w:rsid w:val="002D0586"/>
    <w:rsid w:val="002D1023"/>
    <w:rsid w:val="002D1459"/>
    <w:rsid w:val="002D1470"/>
    <w:rsid w:val="002D21CF"/>
    <w:rsid w:val="002D3651"/>
    <w:rsid w:val="002D3DB7"/>
    <w:rsid w:val="002D4705"/>
    <w:rsid w:val="002D5B65"/>
    <w:rsid w:val="002D6396"/>
    <w:rsid w:val="002D74EA"/>
    <w:rsid w:val="002D7E5E"/>
    <w:rsid w:val="002E07BA"/>
    <w:rsid w:val="002E07EF"/>
    <w:rsid w:val="002E0D06"/>
    <w:rsid w:val="002E1810"/>
    <w:rsid w:val="002E1ACF"/>
    <w:rsid w:val="002E3386"/>
    <w:rsid w:val="002E4E94"/>
    <w:rsid w:val="002F1F28"/>
    <w:rsid w:val="002F43CA"/>
    <w:rsid w:val="002F57AA"/>
    <w:rsid w:val="002F6EF7"/>
    <w:rsid w:val="002F714C"/>
    <w:rsid w:val="002F77BF"/>
    <w:rsid w:val="003004A2"/>
    <w:rsid w:val="00303DD5"/>
    <w:rsid w:val="00307B74"/>
    <w:rsid w:val="00310764"/>
    <w:rsid w:val="00311BFD"/>
    <w:rsid w:val="00314718"/>
    <w:rsid w:val="0031488A"/>
    <w:rsid w:val="003175E1"/>
    <w:rsid w:val="00320203"/>
    <w:rsid w:val="003214F6"/>
    <w:rsid w:val="00322002"/>
    <w:rsid w:val="003247B0"/>
    <w:rsid w:val="00325E81"/>
    <w:rsid w:val="00326948"/>
    <w:rsid w:val="00327052"/>
    <w:rsid w:val="00327EE0"/>
    <w:rsid w:val="0033486D"/>
    <w:rsid w:val="00335228"/>
    <w:rsid w:val="003367C4"/>
    <w:rsid w:val="00336D8E"/>
    <w:rsid w:val="003376B3"/>
    <w:rsid w:val="0034244E"/>
    <w:rsid w:val="00345C9A"/>
    <w:rsid w:val="00345F9C"/>
    <w:rsid w:val="00347776"/>
    <w:rsid w:val="00351A91"/>
    <w:rsid w:val="003520C4"/>
    <w:rsid w:val="003533AE"/>
    <w:rsid w:val="00355E14"/>
    <w:rsid w:val="00356190"/>
    <w:rsid w:val="00357C5E"/>
    <w:rsid w:val="003607A8"/>
    <w:rsid w:val="003608BD"/>
    <w:rsid w:val="00361280"/>
    <w:rsid w:val="003615F1"/>
    <w:rsid w:val="00361A6E"/>
    <w:rsid w:val="003626AF"/>
    <w:rsid w:val="00363D7F"/>
    <w:rsid w:val="0036655E"/>
    <w:rsid w:val="00367C66"/>
    <w:rsid w:val="003700B2"/>
    <w:rsid w:val="00371E9C"/>
    <w:rsid w:val="0037233D"/>
    <w:rsid w:val="003736EF"/>
    <w:rsid w:val="003737E3"/>
    <w:rsid w:val="00373E7B"/>
    <w:rsid w:val="00380A1A"/>
    <w:rsid w:val="00380D80"/>
    <w:rsid w:val="0038500E"/>
    <w:rsid w:val="0038761D"/>
    <w:rsid w:val="003906F8"/>
    <w:rsid w:val="00390AB3"/>
    <w:rsid w:val="00392A85"/>
    <w:rsid w:val="0039331C"/>
    <w:rsid w:val="003935EE"/>
    <w:rsid w:val="00393EE9"/>
    <w:rsid w:val="0039408A"/>
    <w:rsid w:val="003945F5"/>
    <w:rsid w:val="0039673D"/>
    <w:rsid w:val="003975DA"/>
    <w:rsid w:val="00397893"/>
    <w:rsid w:val="003A1E8F"/>
    <w:rsid w:val="003A2407"/>
    <w:rsid w:val="003A2CF0"/>
    <w:rsid w:val="003A33D3"/>
    <w:rsid w:val="003A3880"/>
    <w:rsid w:val="003A485A"/>
    <w:rsid w:val="003A4B52"/>
    <w:rsid w:val="003A4DE3"/>
    <w:rsid w:val="003A5BC5"/>
    <w:rsid w:val="003A5D55"/>
    <w:rsid w:val="003A699E"/>
    <w:rsid w:val="003A75E6"/>
    <w:rsid w:val="003B1137"/>
    <w:rsid w:val="003B255B"/>
    <w:rsid w:val="003B3317"/>
    <w:rsid w:val="003B3EAD"/>
    <w:rsid w:val="003B4B2F"/>
    <w:rsid w:val="003B4C50"/>
    <w:rsid w:val="003B52D4"/>
    <w:rsid w:val="003C0371"/>
    <w:rsid w:val="003C1CA5"/>
    <w:rsid w:val="003C1EC7"/>
    <w:rsid w:val="003C3D8E"/>
    <w:rsid w:val="003C5E61"/>
    <w:rsid w:val="003C64A0"/>
    <w:rsid w:val="003C6F0B"/>
    <w:rsid w:val="003C7BA3"/>
    <w:rsid w:val="003D3642"/>
    <w:rsid w:val="003D4E9C"/>
    <w:rsid w:val="003D5EE8"/>
    <w:rsid w:val="003E0D78"/>
    <w:rsid w:val="003E14EB"/>
    <w:rsid w:val="003E1CB1"/>
    <w:rsid w:val="003E3A1D"/>
    <w:rsid w:val="003E3ECE"/>
    <w:rsid w:val="003E6CA0"/>
    <w:rsid w:val="003F1EAE"/>
    <w:rsid w:val="003F1F41"/>
    <w:rsid w:val="003F2FDE"/>
    <w:rsid w:val="003F330B"/>
    <w:rsid w:val="003F48BD"/>
    <w:rsid w:val="003F6FDF"/>
    <w:rsid w:val="004016F5"/>
    <w:rsid w:val="00404396"/>
    <w:rsid w:val="004045AA"/>
    <w:rsid w:val="004047BF"/>
    <w:rsid w:val="0040549A"/>
    <w:rsid w:val="00405CC9"/>
    <w:rsid w:val="0040711E"/>
    <w:rsid w:val="00407D67"/>
    <w:rsid w:val="00410675"/>
    <w:rsid w:val="00412359"/>
    <w:rsid w:val="00412450"/>
    <w:rsid w:val="00413309"/>
    <w:rsid w:val="004138DE"/>
    <w:rsid w:val="00413B39"/>
    <w:rsid w:val="00414B2F"/>
    <w:rsid w:val="00415E58"/>
    <w:rsid w:val="00416231"/>
    <w:rsid w:val="004208AB"/>
    <w:rsid w:val="004219EF"/>
    <w:rsid w:val="00421A72"/>
    <w:rsid w:val="00424348"/>
    <w:rsid w:val="00426CD9"/>
    <w:rsid w:val="00430FBF"/>
    <w:rsid w:val="00430FEB"/>
    <w:rsid w:val="004310EE"/>
    <w:rsid w:val="004324A8"/>
    <w:rsid w:val="00433677"/>
    <w:rsid w:val="004340D5"/>
    <w:rsid w:val="00434880"/>
    <w:rsid w:val="00434A21"/>
    <w:rsid w:val="0043526D"/>
    <w:rsid w:val="00443C9C"/>
    <w:rsid w:val="004460E9"/>
    <w:rsid w:val="004465F0"/>
    <w:rsid w:val="00447B6F"/>
    <w:rsid w:val="00450B6C"/>
    <w:rsid w:val="00453623"/>
    <w:rsid w:val="00453C11"/>
    <w:rsid w:val="00454E37"/>
    <w:rsid w:val="004557B0"/>
    <w:rsid w:val="00457946"/>
    <w:rsid w:val="00457D8B"/>
    <w:rsid w:val="00460A17"/>
    <w:rsid w:val="00460AC2"/>
    <w:rsid w:val="00462F79"/>
    <w:rsid w:val="00463438"/>
    <w:rsid w:val="00463ECE"/>
    <w:rsid w:val="00465388"/>
    <w:rsid w:val="004677C9"/>
    <w:rsid w:val="00470CB5"/>
    <w:rsid w:val="00471EAB"/>
    <w:rsid w:val="004723EE"/>
    <w:rsid w:val="00475A92"/>
    <w:rsid w:val="00477BB9"/>
    <w:rsid w:val="004821B2"/>
    <w:rsid w:val="004848BF"/>
    <w:rsid w:val="004859EE"/>
    <w:rsid w:val="00487366"/>
    <w:rsid w:val="004873E4"/>
    <w:rsid w:val="0049072C"/>
    <w:rsid w:val="00490A5F"/>
    <w:rsid w:val="00490FD1"/>
    <w:rsid w:val="00491AD2"/>
    <w:rsid w:val="004935C0"/>
    <w:rsid w:val="00493B43"/>
    <w:rsid w:val="00494312"/>
    <w:rsid w:val="00494B59"/>
    <w:rsid w:val="00494EB1"/>
    <w:rsid w:val="00496414"/>
    <w:rsid w:val="00497A38"/>
    <w:rsid w:val="004A45BD"/>
    <w:rsid w:val="004A4656"/>
    <w:rsid w:val="004A77B0"/>
    <w:rsid w:val="004B08A9"/>
    <w:rsid w:val="004B1CED"/>
    <w:rsid w:val="004B34A7"/>
    <w:rsid w:val="004B3B06"/>
    <w:rsid w:val="004B3ED5"/>
    <w:rsid w:val="004B4643"/>
    <w:rsid w:val="004B7F67"/>
    <w:rsid w:val="004C06BE"/>
    <w:rsid w:val="004C0938"/>
    <w:rsid w:val="004C1994"/>
    <w:rsid w:val="004C70FC"/>
    <w:rsid w:val="004D0757"/>
    <w:rsid w:val="004D255E"/>
    <w:rsid w:val="004D2675"/>
    <w:rsid w:val="004D4080"/>
    <w:rsid w:val="004D54CD"/>
    <w:rsid w:val="004E05FD"/>
    <w:rsid w:val="004E1A0D"/>
    <w:rsid w:val="004E23F5"/>
    <w:rsid w:val="004E5418"/>
    <w:rsid w:val="004E63E5"/>
    <w:rsid w:val="004E6B76"/>
    <w:rsid w:val="004F1437"/>
    <w:rsid w:val="004F3540"/>
    <w:rsid w:val="004F52DB"/>
    <w:rsid w:val="004F5624"/>
    <w:rsid w:val="004F5DA4"/>
    <w:rsid w:val="004F62B2"/>
    <w:rsid w:val="004F6424"/>
    <w:rsid w:val="005040CD"/>
    <w:rsid w:val="00505229"/>
    <w:rsid w:val="00507F98"/>
    <w:rsid w:val="005108A3"/>
    <w:rsid w:val="00510AC4"/>
    <w:rsid w:val="00510DB5"/>
    <w:rsid w:val="00510F6E"/>
    <w:rsid w:val="00511422"/>
    <w:rsid w:val="005118AE"/>
    <w:rsid w:val="0051587A"/>
    <w:rsid w:val="005158FA"/>
    <w:rsid w:val="005169AD"/>
    <w:rsid w:val="005169C9"/>
    <w:rsid w:val="005208B9"/>
    <w:rsid w:val="00520DD6"/>
    <w:rsid w:val="005221F0"/>
    <w:rsid w:val="00524807"/>
    <w:rsid w:val="00524CDA"/>
    <w:rsid w:val="005252FE"/>
    <w:rsid w:val="00525ED6"/>
    <w:rsid w:val="00525FF9"/>
    <w:rsid w:val="00526B9F"/>
    <w:rsid w:val="00532C41"/>
    <w:rsid w:val="00532D3F"/>
    <w:rsid w:val="0053386D"/>
    <w:rsid w:val="00534700"/>
    <w:rsid w:val="0053791F"/>
    <w:rsid w:val="00541451"/>
    <w:rsid w:val="005439EE"/>
    <w:rsid w:val="00545B00"/>
    <w:rsid w:val="00546622"/>
    <w:rsid w:val="00547538"/>
    <w:rsid w:val="00551439"/>
    <w:rsid w:val="00553BFA"/>
    <w:rsid w:val="00554D05"/>
    <w:rsid w:val="00555BCB"/>
    <w:rsid w:val="0056077E"/>
    <w:rsid w:val="00560EDA"/>
    <w:rsid w:val="005629EE"/>
    <w:rsid w:val="005648FA"/>
    <w:rsid w:val="00564D50"/>
    <w:rsid w:val="00567346"/>
    <w:rsid w:val="0057371B"/>
    <w:rsid w:val="00575D05"/>
    <w:rsid w:val="00575EB8"/>
    <w:rsid w:val="0057613A"/>
    <w:rsid w:val="00582A9B"/>
    <w:rsid w:val="00583194"/>
    <w:rsid w:val="005832AB"/>
    <w:rsid w:val="0058437C"/>
    <w:rsid w:val="00586279"/>
    <w:rsid w:val="005935F4"/>
    <w:rsid w:val="00593E0A"/>
    <w:rsid w:val="005975E8"/>
    <w:rsid w:val="005978BB"/>
    <w:rsid w:val="005A167F"/>
    <w:rsid w:val="005A346E"/>
    <w:rsid w:val="005A73CF"/>
    <w:rsid w:val="005B3F6F"/>
    <w:rsid w:val="005B798B"/>
    <w:rsid w:val="005C0E69"/>
    <w:rsid w:val="005C1FAE"/>
    <w:rsid w:val="005C39E8"/>
    <w:rsid w:val="005C5660"/>
    <w:rsid w:val="005C5E78"/>
    <w:rsid w:val="005C72E3"/>
    <w:rsid w:val="005C78D7"/>
    <w:rsid w:val="005D11B2"/>
    <w:rsid w:val="005D1380"/>
    <w:rsid w:val="005D4B68"/>
    <w:rsid w:val="005D62E7"/>
    <w:rsid w:val="005E11C1"/>
    <w:rsid w:val="005E2563"/>
    <w:rsid w:val="005E394C"/>
    <w:rsid w:val="005E42BF"/>
    <w:rsid w:val="005E4CF1"/>
    <w:rsid w:val="005E4E70"/>
    <w:rsid w:val="005E4EA8"/>
    <w:rsid w:val="005E65BB"/>
    <w:rsid w:val="005F0DA0"/>
    <w:rsid w:val="005F2767"/>
    <w:rsid w:val="005F4914"/>
    <w:rsid w:val="005F62B7"/>
    <w:rsid w:val="005F6869"/>
    <w:rsid w:val="005F6BB9"/>
    <w:rsid w:val="005F7A4D"/>
    <w:rsid w:val="006008DC"/>
    <w:rsid w:val="00603148"/>
    <w:rsid w:val="00603766"/>
    <w:rsid w:val="00605230"/>
    <w:rsid w:val="00606647"/>
    <w:rsid w:val="00606FC7"/>
    <w:rsid w:val="00610456"/>
    <w:rsid w:val="00611473"/>
    <w:rsid w:val="00611B36"/>
    <w:rsid w:val="00611F66"/>
    <w:rsid w:val="00613A34"/>
    <w:rsid w:val="00615ADA"/>
    <w:rsid w:val="00617A39"/>
    <w:rsid w:val="006221CD"/>
    <w:rsid w:val="006266A9"/>
    <w:rsid w:val="00630426"/>
    <w:rsid w:val="006316C1"/>
    <w:rsid w:val="006316D3"/>
    <w:rsid w:val="00631ED4"/>
    <w:rsid w:val="00633BC7"/>
    <w:rsid w:val="00635AC7"/>
    <w:rsid w:val="00635E9C"/>
    <w:rsid w:val="0063753F"/>
    <w:rsid w:val="00637B41"/>
    <w:rsid w:val="00637FA9"/>
    <w:rsid w:val="00640409"/>
    <w:rsid w:val="006414EE"/>
    <w:rsid w:val="00642524"/>
    <w:rsid w:val="00642D0A"/>
    <w:rsid w:val="0064630E"/>
    <w:rsid w:val="00646FE1"/>
    <w:rsid w:val="00647075"/>
    <w:rsid w:val="00650E38"/>
    <w:rsid w:val="0065581D"/>
    <w:rsid w:val="00655C2F"/>
    <w:rsid w:val="00660403"/>
    <w:rsid w:val="00661140"/>
    <w:rsid w:val="006615B4"/>
    <w:rsid w:val="006647BF"/>
    <w:rsid w:val="00666189"/>
    <w:rsid w:val="006710DD"/>
    <w:rsid w:val="00671FC9"/>
    <w:rsid w:val="00673200"/>
    <w:rsid w:val="006749D4"/>
    <w:rsid w:val="0067501E"/>
    <w:rsid w:val="00675AEF"/>
    <w:rsid w:val="006773D2"/>
    <w:rsid w:val="00680581"/>
    <w:rsid w:val="00681A41"/>
    <w:rsid w:val="006821B2"/>
    <w:rsid w:val="006838C0"/>
    <w:rsid w:val="00685901"/>
    <w:rsid w:val="00685BB9"/>
    <w:rsid w:val="006865F9"/>
    <w:rsid w:val="00690127"/>
    <w:rsid w:val="00690ADD"/>
    <w:rsid w:val="00691BFF"/>
    <w:rsid w:val="006953C1"/>
    <w:rsid w:val="00696EB2"/>
    <w:rsid w:val="006A16E9"/>
    <w:rsid w:val="006A4FA3"/>
    <w:rsid w:val="006A5450"/>
    <w:rsid w:val="006A6372"/>
    <w:rsid w:val="006B0199"/>
    <w:rsid w:val="006B0A32"/>
    <w:rsid w:val="006B0BD8"/>
    <w:rsid w:val="006B4557"/>
    <w:rsid w:val="006B50BA"/>
    <w:rsid w:val="006C0251"/>
    <w:rsid w:val="006C08B2"/>
    <w:rsid w:val="006C2B9A"/>
    <w:rsid w:val="006C39BB"/>
    <w:rsid w:val="006C4502"/>
    <w:rsid w:val="006C6114"/>
    <w:rsid w:val="006C6569"/>
    <w:rsid w:val="006D2288"/>
    <w:rsid w:val="006D4464"/>
    <w:rsid w:val="006D478D"/>
    <w:rsid w:val="006D5009"/>
    <w:rsid w:val="006D58C6"/>
    <w:rsid w:val="006D5E91"/>
    <w:rsid w:val="006D7E87"/>
    <w:rsid w:val="006E14E6"/>
    <w:rsid w:val="006E1AEE"/>
    <w:rsid w:val="006E2F52"/>
    <w:rsid w:val="006E32A9"/>
    <w:rsid w:val="006E3B9C"/>
    <w:rsid w:val="006E51A2"/>
    <w:rsid w:val="006E5313"/>
    <w:rsid w:val="006F0DE2"/>
    <w:rsid w:val="006F11BD"/>
    <w:rsid w:val="006F167D"/>
    <w:rsid w:val="006F25B4"/>
    <w:rsid w:val="006F3128"/>
    <w:rsid w:val="006F32C7"/>
    <w:rsid w:val="006F3392"/>
    <w:rsid w:val="006F3495"/>
    <w:rsid w:val="006F417D"/>
    <w:rsid w:val="006F5C83"/>
    <w:rsid w:val="006F6197"/>
    <w:rsid w:val="006F67CC"/>
    <w:rsid w:val="006F6B89"/>
    <w:rsid w:val="0070083C"/>
    <w:rsid w:val="00701C2D"/>
    <w:rsid w:val="00702162"/>
    <w:rsid w:val="00703930"/>
    <w:rsid w:val="00704894"/>
    <w:rsid w:val="00705792"/>
    <w:rsid w:val="0070610E"/>
    <w:rsid w:val="00707759"/>
    <w:rsid w:val="00710081"/>
    <w:rsid w:val="007104BB"/>
    <w:rsid w:val="00710B0D"/>
    <w:rsid w:val="00713CB5"/>
    <w:rsid w:val="00714E3F"/>
    <w:rsid w:val="0071558B"/>
    <w:rsid w:val="0071776A"/>
    <w:rsid w:val="00721189"/>
    <w:rsid w:val="007221C3"/>
    <w:rsid w:val="007227E4"/>
    <w:rsid w:val="00722F2C"/>
    <w:rsid w:val="007254D1"/>
    <w:rsid w:val="0072565A"/>
    <w:rsid w:val="00725B32"/>
    <w:rsid w:val="00725B3C"/>
    <w:rsid w:val="00733D54"/>
    <w:rsid w:val="00735F64"/>
    <w:rsid w:val="00736A4F"/>
    <w:rsid w:val="00737753"/>
    <w:rsid w:val="00737768"/>
    <w:rsid w:val="00740BB8"/>
    <w:rsid w:val="00740CE9"/>
    <w:rsid w:val="00741E93"/>
    <w:rsid w:val="007428E3"/>
    <w:rsid w:val="0074394E"/>
    <w:rsid w:val="0074422D"/>
    <w:rsid w:val="0074542B"/>
    <w:rsid w:val="00750D0A"/>
    <w:rsid w:val="00751D93"/>
    <w:rsid w:val="00752300"/>
    <w:rsid w:val="00753BF5"/>
    <w:rsid w:val="007546F8"/>
    <w:rsid w:val="0075579B"/>
    <w:rsid w:val="00755BAB"/>
    <w:rsid w:val="00755E8B"/>
    <w:rsid w:val="00756461"/>
    <w:rsid w:val="0076080E"/>
    <w:rsid w:val="0076411D"/>
    <w:rsid w:val="007641AF"/>
    <w:rsid w:val="007670F8"/>
    <w:rsid w:val="007671D4"/>
    <w:rsid w:val="00770A85"/>
    <w:rsid w:val="00773DC9"/>
    <w:rsid w:val="007740F6"/>
    <w:rsid w:val="0077572E"/>
    <w:rsid w:val="00776FCE"/>
    <w:rsid w:val="00777BE4"/>
    <w:rsid w:val="0078031B"/>
    <w:rsid w:val="00784F44"/>
    <w:rsid w:val="00786672"/>
    <w:rsid w:val="007872CF"/>
    <w:rsid w:val="0079201C"/>
    <w:rsid w:val="00792709"/>
    <w:rsid w:val="0079307F"/>
    <w:rsid w:val="007940C5"/>
    <w:rsid w:val="007947C4"/>
    <w:rsid w:val="00795812"/>
    <w:rsid w:val="007958FB"/>
    <w:rsid w:val="00795CE1"/>
    <w:rsid w:val="007A0646"/>
    <w:rsid w:val="007A06AC"/>
    <w:rsid w:val="007A1B2F"/>
    <w:rsid w:val="007A4636"/>
    <w:rsid w:val="007A5D90"/>
    <w:rsid w:val="007A6B5B"/>
    <w:rsid w:val="007A7566"/>
    <w:rsid w:val="007B1014"/>
    <w:rsid w:val="007B103F"/>
    <w:rsid w:val="007B1484"/>
    <w:rsid w:val="007B1A10"/>
    <w:rsid w:val="007B31AB"/>
    <w:rsid w:val="007B3268"/>
    <w:rsid w:val="007B37F1"/>
    <w:rsid w:val="007B42D3"/>
    <w:rsid w:val="007B46D9"/>
    <w:rsid w:val="007B6659"/>
    <w:rsid w:val="007B6C39"/>
    <w:rsid w:val="007B76AB"/>
    <w:rsid w:val="007B7DBD"/>
    <w:rsid w:val="007C264B"/>
    <w:rsid w:val="007C45D3"/>
    <w:rsid w:val="007C4CA8"/>
    <w:rsid w:val="007C58A2"/>
    <w:rsid w:val="007C597B"/>
    <w:rsid w:val="007C760C"/>
    <w:rsid w:val="007D08FD"/>
    <w:rsid w:val="007D1584"/>
    <w:rsid w:val="007D2044"/>
    <w:rsid w:val="007D307D"/>
    <w:rsid w:val="007D4F33"/>
    <w:rsid w:val="007D554B"/>
    <w:rsid w:val="007D584E"/>
    <w:rsid w:val="007D65C7"/>
    <w:rsid w:val="007D74D2"/>
    <w:rsid w:val="007D79B5"/>
    <w:rsid w:val="007E2300"/>
    <w:rsid w:val="007E2334"/>
    <w:rsid w:val="007E23CE"/>
    <w:rsid w:val="007E28C9"/>
    <w:rsid w:val="007E2CE7"/>
    <w:rsid w:val="007E43D0"/>
    <w:rsid w:val="007E4F00"/>
    <w:rsid w:val="007E54F8"/>
    <w:rsid w:val="007E5987"/>
    <w:rsid w:val="007E5BD8"/>
    <w:rsid w:val="007E703D"/>
    <w:rsid w:val="007E7BF9"/>
    <w:rsid w:val="007F02BC"/>
    <w:rsid w:val="007F1D17"/>
    <w:rsid w:val="007F20D7"/>
    <w:rsid w:val="007F2E65"/>
    <w:rsid w:val="007F43BA"/>
    <w:rsid w:val="007F45D1"/>
    <w:rsid w:val="007F4D94"/>
    <w:rsid w:val="007F64BE"/>
    <w:rsid w:val="007F6DC3"/>
    <w:rsid w:val="008006B4"/>
    <w:rsid w:val="008015B6"/>
    <w:rsid w:val="00803FD4"/>
    <w:rsid w:val="0080481C"/>
    <w:rsid w:val="00804C54"/>
    <w:rsid w:val="00804E63"/>
    <w:rsid w:val="008056DD"/>
    <w:rsid w:val="0081104C"/>
    <w:rsid w:val="008121F2"/>
    <w:rsid w:val="00812D16"/>
    <w:rsid w:val="008158E9"/>
    <w:rsid w:val="00816C51"/>
    <w:rsid w:val="00821511"/>
    <w:rsid w:val="00821865"/>
    <w:rsid w:val="008225EB"/>
    <w:rsid w:val="0082327D"/>
    <w:rsid w:val="0082433D"/>
    <w:rsid w:val="00826509"/>
    <w:rsid w:val="0083354D"/>
    <w:rsid w:val="0083561B"/>
    <w:rsid w:val="00837D78"/>
    <w:rsid w:val="00840D79"/>
    <w:rsid w:val="00841F8C"/>
    <w:rsid w:val="00842A21"/>
    <w:rsid w:val="00845DAD"/>
    <w:rsid w:val="00846640"/>
    <w:rsid w:val="00851377"/>
    <w:rsid w:val="0085437C"/>
    <w:rsid w:val="00854B2F"/>
    <w:rsid w:val="00855481"/>
    <w:rsid w:val="00856354"/>
    <w:rsid w:val="008568E1"/>
    <w:rsid w:val="00856BE9"/>
    <w:rsid w:val="0085730C"/>
    <w:rsid w:val="008578F8"/>
    <w:rsid w:val="00860566"/>
    <w:rsid w:val="0086165C"/>
    <w:rsid w:val="00861B26"/>
    <w:rsid w:val="00862EED"/>
    <w:rsid w:val="008643FC"/>
    <w:rsid w:val="008649B9"/>
    <w:rsid w:val="00867106"/>
    <w:rsid w:val="00867422"/>
    <w:rsid w:val="0086784F"/>
    <w:rsid w:val="00870394"/>
    <w:rsid w:val="0087073B"/>
    <w:rsid w:val="00873967"/>
    <w:rsid w:val="008743BB"/>
    <w:rsid w:val="00876039"/>
    <w:rsid w:val="00876332"/>
    <w:rsid w:val="00876E2D"/>
    <w:rsid w:val="008770D4"/>
    <w:rsid w:val="008800E5"/>
    <w:rsid w:val="008800EB"/>
    <w:rsid w:val="0088127F"/>
    <w:rsid w:val="008815EF"/>
    <w:rsid w:val="00883727"/>
    <w:rsid w:val="00883ED5"/>
    <w:rsid w:val="00885273"/>
    <w:rsid w:val="00885F2C"/>
    <w:rsid w:val="00886386"/>
    <w:rsid w:val="0088701C"/>
    <w:rsid w:val="0089173D"/>
    <w:rsid w:val="00892459"/>
    <w:rsid w:val="008929AA"/>
    <w:rsid w:val="00892AA5"/>
    <w:rsid w:val="0089499B"/>
    <w:rsid w:val="00894ACA"/>
    <w:rsid w:val="00894C1A"/>
    <w:rsid w:val="00894EC5"/>
    <w:rsid w:val="00896658"/>
    <w:rsid w:val="008967B5"/>
    <w:rsid w:val="008A03AC"/>
    <w:rsid w:val="008A1008"/>
    <w:rsid w:val="008A345A"/>
    <w:rsid w:val="008A3B5B"/>
    <w:rsid w:val="008A3DB9"/>
    <w:rsid w:val="008A535C"/>
    <w:rsid w:val="008A6A5C"/>
    <w:rsid w:val="008A7316"/>
    <w:rsid w:val="008A7E0F"/>
    <w:rsid w:val="008B4A1C"/>
    <w:rsid w:val="008B500A"/>
    <w:rsid w:val="008C090B"/>
    <w:rsid w:val="008C11C6"/>
    <w:rsid w:val="008C1610"/>
    <w:rsid w:val="008C28E7"/>
    <w:rsid w:val="008C2F1E"/>
    <w:rsid w:val="008C30E5"/>
    <w:rsid w:val="008C3B5B"/>
    <w:rsid w:val="008C409F"/>
    <w:rsid w:val="008C602D"/>
    <w:rsid w:val="008C6053"/>
    <w:rsid w:val="008C6BCC"/>
    <w:rsid w:val="008D098D"/>
    <w:rsid w:val="008D135A"/>
    <w:rsid w:val="008D2205"/>
    <w:rsid w:val="008D2331"/>
    <w:rsid w:val="008D347F"/>
    <w:rsid w:val="008D35AD"/>
    <w:rsid w:val="008D36CD"/>
    <w:rsid w:val="008D4380"/>
    <w:rsid w:val="008D48D1"/>
    <w:rsid w:val="008D6BE8"/>
    <w:rsid w:val="008E1CCD"/>
    <w:rsid w:val="008E27E9"/>
    <w:rsid w:val="008E42DE"/>
    <w:rsid w:val="008E70D7"/>
    <w:rsid w:val="008E7170"/>
    <w:rsid w:val="008F2C49"/>
    <w:rsid w:val="008F36F0"/>
    <w:rsid w:val="008F600D"/>
    <w:rsid w:val="008F66BC"/>
    <w:rsid w:val="008F7CFF"/>
    <w:rsid w:val="008F7ED1"/>
    <w:rsid w:val="00901C8D"/>
    <w:rsid w:val="00904A4D"/>
    <w:rsid w:val="00905643"/>
    <w:rsid w:val="00905EE9"/>
    <w:rsid w:val="009065F4"/>
    <w:rsid w:val="009075A7"/>
    <w:rsid w:val="00907DFB"/>
    <w:rsid w:val="00910624"/>
    <w:rsid w:val="00910FBA"/>
    <w:rsid w:val="00911D39"/>
    <w:rsid w:val="00912B9F"/>
    <w:rsid w:val="00917839"/>
    <w:rsid w:val="00917C0F"/>
    <w:rsid w:val="0092040E"/>
    <w:rsid w:val="00920C6C"/>
    <w:rsid w:val="00921897"/>
    <w:rsid w:val="00921C6D"/>
    <w:rsid w:val="009227D9"/>
    <w:rsid w:val="00923C44"/>
    <w:rsid w:val="00927791"/>
    <w:rsid w:val="00930607"/>
    <w:rsid w:val="00930D0A"/>
    <w:rsid w:val="009320B0"/>
    <w:rsid w:val="009329BA"/>
    <w:rsid w:val="0093304D"/>
    <w:rsid w:val="00933F69"/>
    <w:rsid w:val="0093556B"/>
    <w:rsid w:val="00936939"/>
    <w:rsid w:val="0094053B"/>
    <w:rsid w:val="0094151C"/>
    <w:rsid w:val="00942040"/>
    <w:rsid w:val="00942C9F"/>
    <w:rsid w:val="00943F98"/>
    <w:rsid w:val="00945631"/>
    <w:rsid w:val="00947549"/>
    <w:rsid w:val="00947CF3"/>
    <w:rsid w:val="009575E7"/>
    <w:rsid w:val="0095793C"/>
    <w:rsid w:val="0096111E"/>
    <w:rsid w:val="00961125"/>
    <w:rsid w:val="009623D8"/>
    <w:rsid w:val="00963362"/>
    <w:rsid w:val="00963BD1"/>
    <w:rsid w:val="009651B8"/>
    <w:rsid w:val="00966B1F"/>
    <w:rsid w:val="00970A7E"/>
    <w:rsid w:val="0097116E"/>
    <w:rsid w:val="00974518"/>
    <w:rsid w:val="00974F29"/>
    <w:rsid w:val="00980FE0"/>
    <w:rsid w:val="00985F8B"/>
    <w:rsid w:val="0098707D"/>
    <w:rsid w:val="00990C3B"/>
    <w:rsid w:val="00991CBD"/>
    <w:rsid w:val="009921E6"/>
    <w:rsid w:val="009928B7"/>
    <w:rsid w:val="0099321A"/>
    <w:rsid w:val="009947E8"/>
    <w:rsid w:val="009960B7"/>
    <w:rsid w:val="00996F08"/>
    <w:rsid w:val="009970B6"/>
    <w:rsid w:val="009972FE"/>
    <w:rsid w:val="009A2C2D"/>
    <w:rsid w:val="009B536C"/>
    <w:rsid w:val="009B5C19"/>
    <w:rsid w:val="009B6496"/>
    <w:rsid w:val="009C01DA"/>
    <w:rsid w:val="009C1528"/>
    <w:rsid w:val="009C20CC"/>
    <w:rsid w:val="009C2BDF"/>
    <w:rsid w:val="009C3558"/>
    <w:rsid w:val="009C562E"/>
    <w:rsid w:val="009C58A6"/>
    <w:rsid w:val="009C5E44"/>
    <w:rsid w:val="009C7531"/>
    <w:rsid w:val="009D1274"/>
    <w:rsid w:val="009D220C"/>
    <w:rsid w:val="009D221F"/>
    <w:rsid w:val="009D62B5"/>
    <w:rsid w:val="009D7078"/>
    <w:rsid w:val="009E06FE"/>
    <w:rsid w:val="009E09F0"/>
    <w:rsid w:val="009E0F67"/>
    <w:rsid w:val="009E19E8"/>
    <w:rsid w:val="009E377C"/>
    <w:rsid w:val="009E411C"/>
    <w:rsid w:val="009E458A"/>
    <w:rsid w:val="009E5316"/>
    <w:rsid w:val="009E58D2"/>
    <w:rsid w:val="009E5D7C"/>
    <w:rsid w:val="009E5DFC"/>
    <w:rsid w:val="009F1789"/>
    <w:rsid w:val="009F2E3B"/>
    <w:rsid w:val="009F36D2"/>
    <w:rsid w:val="009F39E9"/>
    <w:rsid w:val="009F3B6B"/>
    <w:rsid w:val="009F4504"/>
    <w:rsid w:val="009F502C"/>
    <w:rsid w:val="009F603B"/>
    <w:rsid w:val="009F6987"/>
    <w:rsid w:val="009F7093"/>
    <w:rsid w:val="009F720F"/>
    <w:rsid w:val="00A010E7"/>
    <w:rsid w:val="00A01A17"/>
    <w:rsid w:val="00A01A60"/>
    <w:rsid w:val="00A02005"/>
    <w:rsid w:val="00A02692"/>
    <w:rsid w:val="00A06792"/>
    <w:rsid w:val="00A06E6E"/>
    <w:rsid w:val="00A06FAD"/>
    <w:rsid w:val="00A076F9"/>
    <w:rsid w:val="00A07997"/>
    <w:rsid w:val="00A07F87"/>
    <w:rsid w:val="00A10085"/>
    <w:rsid w:val="00A11461"/>
    <w:rsid w:val="00A13659"/>
    <w:rsid w:val="00A1637F"/>
    <w:rsid w:val="00A206ED"/>
    <w:rsid w:val="00A20806"/>
    <w:rsid w:val="00A20C7F"/>
    <w:rsid w:val="00A21492"/>
    <w:rsid w:val="00A21D41"/>
    <w:rsid w:val="00A22DBA"/>
    <w:rsid w:val="00A2329D"/>
    <w:rsid w:val="00A2490E"/>
    <w:rsid w:val="00A25442"/>
    <w:rsid w:val="00A25BFF"/>
    <w:rsid w:val="00A26648"/>
    <w:rsid w:val="00A26F79"/>
    <w:rsid w:val="00A27522"/>
    <w:rsid w:val="00A3136F"/>
    <w:rsid w:val="00A31EC0"/>
    <w:rsid w:val="00A34D0C"/>
    <w:rsid w:val="00A34D76"/>
    <w:rsid w:val="00A365D0"/>
    <w:rsid w:val="00A402B8"/>
    <w:rsid w:val="00A4043E"/>
    <w:rsid w:val="00A437D9"/>
    <w:rsid w:val="00A43C16"/>
    <w:rsid w:val="00A443A6"/>
    <w:rsid w:val="00A4509F"/>
    <w:rsid w:val="00A45A1A"/>
    <w:rsid w:val="00A45E61"/>
    <w:rsid w:val="00A47F32"/>
    <w:rsid w:val="00A51E68"/>
    <w:rsid w:val="00A52585"/>
    <w:rsid w:val="00A53220"/>
    <w:rsid w:val="00A538E6"/>
    <w:rsid w:val="00A54514"/>
    <w:rsid w:val="00A546DC"/>
    <w:rsid w:val="00A56102"/>
    <w:rsid w:val="00A56800"/>
    <w:rsid w:val="00A56D7E"/>
    <w:rsid w:val="00A57404"/>
    <w:rsid w:val="00A575BD"/>
    <w:rsid w:val="00A60EEC"/>
    <w:rsid w:val="00A621EF"/>
    <w:rsid w:val="00A63B83"/>
    <w:rsid w:val="00A65BD9"/>
    <w:rsid w:val="00A66718"/>
    <w:rsid w:val="00A66912"/>
    <w:rsid w:val="00A671EF"/>
    <w:rsid w:val="00A70B31"/>
    <w:rsid w:val="00A7195A"/>
    <w:rsid w:val="00A73A74"/>
    <w:rsid w:val="00A759FE"/>
    <w:rsid w:val="00A75FE1"/>
    <w:rsid w:val="00A76D67"/>
    <w:rsid w:val="00A76F35"/>
    <w:rsid w:val="00A77562"/>
    <w:rsid w:val="00A776B8"/>
    <w:rsid w:val="00A81EB6"/>
    <w:rsid w:val="00A837FE"/>
    <w:rsid w:val="00A847C3"/>
    <w:rsid w:val="00A85357"/>
    <w:rsid w:val="00A86E8E"/>
    <w:rsid w:val="00A871E5"/>
    <w:rsid w:val="00A87449"/>
    <w:rsid w:val="00A902DD"/>
    <w:rsid w:val="00A91617"/>
    <w:rsid w:val="00A91F56"/>
    <w:rsid w:val="00A93CF4"/>
    <w:rsid w:val="00A96FA8"/>
    <w:rsid w:val="00A9770A"/>
    <w:rsid w:val="00A9799E"/>
    <w:rsid w:val="00AA0A43"/>
    <w:rsid w:val="00AA0DD3"/>
    <w:rsid w:val="00AA1C07"/>
    <w:rsid w:val="00AA3688"/>
    <w:rsid w:val="00AA5887"/>
    <w:rsid w:val="00AA61E9"/>
    <w:rsid w:val="00AA66B5"/>
    <w:rsid w:val="00AB19F8"/>
    <w:rsid w:val="00AB1D1A"/>
    <w:rsid w:val="00AB2A61"/>
    <w:rsid w:val="00AB3A12"/>
    <w:rsid w:val="00AB5A8D"/>
    <w:rsid w:val="00AB6642"/>
    <w:rsid w:val="00AC124C"/>
    <w:rsid w:val="00AC26A9"/>
    <w:rsid w:val="00AC2EFE"/>
    <w:rsid w:val="00AC3930"/>
    <w:rsid w:val="00AC3AB1"/>
    <w:rsid w:val="00AC5117"/>
    <w:rsid w:val="00AC564D"/>
    <w:rsid w:val="00AC68C6"/>
    <w:rsid w:val="00AC79C1"/>
    <w:rsid w:val="00AC7CA4"/>
    <w:rsid w:val="00AD24E2"/>
    <w:rsid w:val="00AD493B"/>
    <w:rsid w:val="00AD4A64"/>
    <w:rsid w:val="00AD4D4E"/>
    <w:rsid w:val="00AD598F"/>
    <w:rsid w:val="00AD6D09"/>
    <w:rsid w:val="00AE07DA"/>
    <w:rsid w:val="00AE098E"/>
    <w:rsid w:val="00AE0BBA"/>
    <w:rsid w:val="00AE2291"/>
    <w:rsid w:val="00AE25C8"/>
    <w:rsid w:val="00AE3650"/>
    <w:rsid w:val="00AE4003"/>
    <w:rsid w:val="00AE4113"/>
    <w:rsid w:val="00AE4380"/>
    <w:rsid w:val="00AE4FAC"/>
    <w:rsid w:val="00AE5525"/>
    <w:rsid w:val="00AE6381"/>
    <w:rsid w:val="00AE656F"/>
    <w:rsid w:val="00AE6BEA"/>
    <w:rsid w:val="00AE7D78"/>
    <w:rsid w:val="00AF3368"/>
    <w:rsid w:val="00AF41F6"/>
    <w:rsid w:val="00AF438E"/>
    <w:rsid w:val="00AF45CA"/>
    <w:rsid w:val="00AF5CEE"/>
    <w:rsid w:val="00AF63E2"/>
    <w:rsid w:val="00AF7506"/>
    <w:rsid w:val="00B007DD"/>
    <w:rsid w:val="00B0098A"/>
    <w:rsid w:val="00B01016"/>
    <w:rsid w:val="00B0146E"/>
    <w:rsid w:val="00B02160"/>
    <w:rsid w:val="00B021EB"/>
    <w:rsid w:val="00B027CB"/>
    <w:rsid w:val="00B0352B"/>
    <w:rsid w:val="00B073E6"/>
    <w:rsid w:val="00B074F8"/>
    <w:rsid w:val="00B079EF"/>
    <w:rsid w:val="00B101E3"/>
    <w:rsid w:val="00B11A3D"/>
    <w:rsid w:val="00B121B0"/>
    <w:rsid w:val="00B13B87"/>
    <w:rsid w:val="00B17FAB"/>
    <w:rsid w:val="00B20BFB"/>
    <w:rsid w:val="00B22C5F"/>
    <w:rsid w:val="00B23687"/>
    <w:rsid w:val="00B2524A"/>
    <w:rsid w:val="00B25710"/>
    <w:rsid w:val="00B26AF1"/>
    <w:rsid w:val="00B277DF"/>
    <w:rsid w:val="00B27B03"/>
    <w:rsid w:val="00B314F3"/>
    <w:rsid w:val="00B31B62"/>
    <w:rsid w:val="00B3208E"/>
    <w:rsid w:val="00B33711"/>
    <w:rsid w:val="00B347FB"/>
    <w:rsid w:val="00B34889"/>
    <w:rsid w:val="00B37550"/>
    <w:rsid w:val="00B402C6"/>
    <w:rsid w:val="00B40D69"/>
    <w:rsid w:val="00B41519"/>
    <w:rsid w:val="00B41DC1"/>
    <w:rsid w:val="00B42F69"/>
    <w:rsid w:val="00B46EC7"/>
    <w:rsid w:val="00B50A91"/>
    <w:rsid w:val="00B5160B"/>
    <w:rsid w:val="00B51761"/>
    <w:rsid w:val="00B51871"/>
    <w:rsid w:val="00B52022"/>
    <w:rsid w:val="00B52187"/>
    <w:rsid w:val="00B54691"/>
    <w:rsid w:val="00B57524"/>
    <w:rsid w:val="00B60CCD"/>
    <w:rsid w:val="00B62854"/>
    <w:rsid w:val="00B62EF1"/>
    <w:rsid w:val="00B640CC"/>
    <w:rsid w:val="00B645B6"/>
    <w:rsid w:val="00B64B2F"/>
    <w:rsid w:val="00B667BF"/>
    <w:rsid w:val="00B674D6"/>
    <w:rsid w:val="00B6797D"/>
    <w:rsid w:val="00B7076D"/>
    <w:rsid w:val="00B7245B"/>
    <w:rsid w:val="00B72E92"/>
    <w:rsid w:val="00B735B8"/>
    <w:rsid w:val="00B738C2"/>
    <w:rsid w:val="00B74858"/>
    <w:rsid w:val="00B752EB"/>
    <w:rsid w:val="00B77BE4"/>
    <w:rsid w:val="00B812BE"/>
    <w:rsid w:val="00B813D5"/>
    <w:rsid w:val="00B8258D"/>
    <w:rsid w:val="00B825B4"/>
    <w:rsid w:val="00B84E7E"/>
    <w:rsid w:val="00B86608"/>
    <w:rsid w:val="00B87847"/>
    <w:rsid w:val="00B90477"/>
    <w:rsid w:val="00B90604"/>
    <w:rsid w:val="00B92AA5"/>
    <w:rsid w:val="00B93904"/>
    <w:rsid w:val="00B955FE"/>
    <w:rsid w:val="00B96744"/>
    <w:rsid w:val="00BA0B9F"/>
    <w:rsid w:val="00BA1D5C"/>
    <w:rsid w:val="00BA3287"/>
    <w:rsid w:val="00BA6419"/>
    <w:rsid w:val="00BA6550"/>
    <w:rsid w:val="00BB3642"/>
    <w:rsid w:val="00BB44E5"/>
    <w:rsid w:val="00BB4861"/>
    <w:rsid w:val="00BB4A3B"/>
    <w:rsid w:val="00BB59F6"/>
    <w:rsid w:val="00BB5EF0"/>
    <w:rsid w:val="00BB66AB"/>
    <w:rsid w:val="00BB7BBA"/>
    <w:rsid w:val="00BC0AD6"/>
    <w:rsid w:val="00BC122E"/>
    <w:rsid w:val="00BC19E6"/>
    <w:rsid w:val="00BC3584"/>
    <w:rsid w:val="00BC5838"/>
    <w:rsid w:val="00BC6DC2"/>
    <w:rsid w:val="00BE4ED6"/>
    <w:rsid w:val="00BE54F3"/>
    <w:rsid w:val="00BE5F67"/>
    <w:rsid w:val="00BE66C3"/>
    <w:rsid w:val="00BE7920"/>
    <w:rsid w:val="00BF1E46"/>
    <w:rsid w:val="00BF2A3A"/>
    <w:rsid w:val="00BF2CD1"/>
    <w:rsid w:val="00BF3FA9"/>
    <w:rsid w:val="00BF40C6"/>
    <w:rsid w:val="00BF4B6A"/>
    <w:rsid w:val="00BF5135"/>
    <w:rsid w:val="00BF7AF2"/>
    <w:rsid w:val="00C00312"/>
    <w:rsid w:val="00C00828"/>
    <w:rsid w:val="00C009F5"/>
    <w:rsid w:val="00C01129"/>
    <w:rsid w:val="00C02239"/>
    <w:rsid w:val="00C022E1"/>
    <w:rsid w:val="00C0398D"/>
    <w:rsid w:val="00C05C3D"/>
    <w:rsid w:val="00C071AC"/>
    <w:rsid w:val="00C109A2"/>
    <w:rsid w:val="00C11E4C"/>
    <w:rsid w:val="00C14954"/>
    <w:rsid w:val="00C17553"/>
    <w:rsid w:val="00C179B0"/>
    <w:rsid w:val="00C20245"/>
    <w:rsid w:val="00C20CA6"/>
    <w:rsid w:val="00C211E1"/>
    <w:rsid w:val="00C21697"/>
    <w:rsid w:val="00C226F9"/>
    <w:rsid w:val="00C23398"/>
    <w:rsid w:val="00C23B23"/>
    <w:rsid w:val="00C2428B"/>
    <w:rsid w:val="00C25D8D"/>
    <w:rsid w:val="00C26C22"/>
    <w:rsid w:val="00C27B03"/>
    <w:rsid w:val="00C3089B"/>
    <w:rsid w:val="00C34B40"/>
    <w:rsid w:val="00C35836"/>
    <w:rsid w:val="00C40B15"/>
    <w:rsid w:val="00C41CD3"/>
    <w:rsid w:val="00C43438"/>
    <w:rsid w:val="00C436E1"/>
    <w:rsid w:val="00C44264"/>
    <w:rsid w:val="00C44411"/>
    <w:rsid w:val="00C46251"/>
    <w:rsid w:val="00C4790F"/>
    <w:rsid w:val="00C47FC0"/>
    <w:rsid w:val="00C5189F"/>
    <w:rsid w:val="00C528CC"/>
    <w:rsid w:val="00C53ABD"/>
    <w:rsid w:val="00C53AD3"/>
    <w:rsid w:val="00C53C94"/>
    <w:rsid w:val="00C5574D"/>
    <w:rsid w:val="00C57741"/>
    <w:rsid w:val="00C6074F"/>
    <w:rsid w:val="00C613BB"/>
    <w:rsid w:val="00C62568"/>
    <w:rsid w:val="00C64143"/>
    <w:rsid w:val="00C6434D"/>
    <w:rsid w:val="00C652E5"/>
    <w:rsid w:val="00C67446"/>
    <w:rsid w:val="00C70962"/>
    <w:rsid w:val="00C71674"/>
    <w:rsid w:val="00C71C67"/>
    <w:rsid w:val="00C729E1"/>
    <w:rsid w:val="00C72D7C"/>
    <w:rsid w:val="00C7697F"/>
    <w:rsid w:val="00C778ED"/>
    <w:rsid w:val="00C77ED2"/>
    <w:rsid w:val="00C8136C"/>
    <w:rsid w:val="00C82FAC"/>
    <w:rsid w:val="00C82FFA"/>
    <w:rsid w:val="00C84A1B"/>
    <w:rsid w:val="00C85227"/>
    <w:rsid w:val="00C85521"/>
    <w:rsid w:val="00C856C0"/>
    <w:rsid w:val="00C863EE"/>
    <w:rsid w:val="00C874A1"/>
    <w:rsid w:val="00C92646"/>
    <w:rsid w:val="00C9316A"/>
    <w:rsid w:val="00C93B5E"/>
    <w:rsid w:val="00C95D8D"/>
    <w:rsid w:val="00C97C7F"/>
    <w:rsid w:val="00CA2283"/>
    <w:rsid w:val="00CA2AEF"/>
    <w:rsid w:val="00CA2CA3"/>
    <w:rsid w:val="00CA325F"/>
    <w:rsid w:val="00CA33B8"/>
    <w:rsid w:val="00CB1582"/>
    <w:rsid w:val="00CB2212"/>
    <w:rsid w:val="00CB22B7"/>
    <w:rsid w:val="00CB31DA"/>
    <w:rsid w:val="00CB5032"/>
    <w:rsid w:val="00CB5664"/>
    <w:rsid w:val="00CB65A6"/>
    <w:rsid w:val="00CB7DF6"/>
    <w:rsid w:val="00CC04BE"/>
    <w:rsid w:val="00CC303F"/>
    <w:rsid w:val="00CC3C96"/>
    <w:rsid w:val="00CD077C"/>
    <w:rsid w:val="00CD342A"/>
    <w:rsid w:val="00CD3940"/>
    <w:rsid w:val="00CD6251"/>
    <w:rsid w:val="00CE0B21"/>
    <w:rsid w:val="00CE292F"/>
    <w:rsid w:val="00CE2F14"/>
    <w:rsid w:val="00CE52B8"/>
    <w:rsid w:val="00CE636E"/>
    <w:rsid w:val="00CE6A0B"/>
    <w:rsid w:val="00CE7BF6"/>
    <w:rsid w:val="00CF0950"/>
    <w:rsid w:val="00CF25F1"/>
    <w:rsid w:val="00CF2613"/>
    <w:rsid w:val="00CF2ADF"/>
    <w:rsid w:val="00CF3B07"/>
    <w:rsid w:val="00CF4C13"/>
    <w:rsid w:val="00CF5BF0"/>
    <w:rsid w:val="00CF62E0"/>
    <w:rsid w:val="00CF6384"/>
    <w:rsid w:val="00CF6902"/>
    <w:rsid w:val="00D02B8F"/>
    <w:rsid w:val="00D03159"/>
    <w:rsid w:val="00D06E88"/>
    <w:rsid w:val="00D107E0"/>
    <w:rsid w:val="00D10C0B"/>
    <w:rsid w:val="00D11F90"/>
    <w:rsid w:val="00D13527"/>
    <w:rsid w:val="00D15257"/>
    <w:rsid w:val="00D15E4E"/>
    <w:rsid w:val="00D17601"/>
    <w:rsid w:val="00D209F0"/>
    <w:rsid w:val="00D20D6E"/>
    <w:rsid w:val="00D21300"/>
    <w:rsid w:val="00D22F7B"/>
    <w:rsid w:val="00D230DC"/>
    <w:rsid w:val="00D249AD"/>
    <w:rsid w:val="00D26C9A"/>
    <w:rsid w:val="00D303E8"/>
    <w:rsid w:val="00D31BA6"/>
    <w:rsid w:val="00D335E1"/>
    <w:rsid w:val="00D3545E"/>
    <w:rsid w:val="00D35FEA"/>
    <w:rsid w:val="00D366E4"/>
    <w:rsid w:val="00D423AC"/>
    <w:rsid w:val="00D43A6B"/>
    <w:rsid w:val="00D44B15"/>
    <w:rsid w:val="00D44DC6"/>
    <w:rsid w:val="00D476EA"/>
    <w:rsid w:val="00D514E5"/>
    <w:rsid w:val="00D53589"/>
    <w:rsid w:val="00D539D5"/>
    <w:rsid w:val="00D541E1"/>
    <w:rsid w:val="00D544D5"/>
    <w:rsid w:val="00D57332"/>
    <w:rsid w:val="00D57897"/>
    <w:rsid w:val="00D602DE"/>
    <w:rsid w:val="00D6096A"/>
    <w:rsid w:val="00D60ABE"/>
    <w:rsid w:val="00D60CE5"/>
    <w:rsid w:val="00D61811"/>
    <w:rsid w:val="00D63F9F"/>
    <w:rsid w:val="00D646D3"/>
    <w:rsid w:val="00D64DA2"/>
    <w:rsid w:val="00D662F2"/>
    <w:rsid w:val="00D665F1"/>
    <w:rsid w:val="00D6711E"/>
    <w:rsid w:val="00D731C9"/>
    <w:rsid w:val="00D73B08"/>
    <w:rsid w:val="00D80127"/>
    <w:rsid w:val="00D80186"/>
    <w:rsid w:val="00D804E2"/>
    <w:rsid w:val="00D805D1"/>
    <w:rsid w:val="00D81FB3"/>
    <w:rsid w:val="00D82FD7"/>
    <w:rsid w:val="00D84FA6"/>
    <w:rsid w:val="00D85C5F"/>
    <w:rsid w:val="00D85ECC"/>
    <w:rsid w:val="00D85F96"/>
    <w:rsid w:val="00D864C7"/>
    <w:rsid w:val="00D86EB7"/>
    <w:rsid w:val="00D91E9F"/>
    <w:rsid w:val="00D92B5E"/>
    <w:rsid w:val="00D93388"/>
    <w:rsid w:val="00D93CFF"/>
    <w:rsid w:val="00D94FAF"/>
    <w:rsid w:val="00D95457"/>
    <w:rsid w:val="00D96279"/>
    <w:rsid w:val="00D97A7B"/>
    <w:rsid w:val="00DA1259"/>
    <w:rsid w:val="00DA1AAD"/>
    <w:rsid w:val="00DA1E08"/>
    <w:rsid w:val="00DA2A02"/>
    <w:rsid w:val="00DA4A52"/>
    <w:rsid w:val="00DA4FBC"/>
    <w:rsid w:val="00DA61B9"/>
    <w:rsid w:val="00DA7457"/>
    <w:rsid w:val="00DB0200"/>
    <w:rsid w:val="00DB1083"/>
    <w:rsid w:val="00DB1B31"/>
    <w:rsid w:val="00DB2995"/>
    <w:rsid w:val="00DB2ED0"/>
    <w:rsid w:val="00DB38F0"/>
    <w:rsid w:val="00DB3922"/>
    <w:rsid w:val="00DB3EE8"/>
    <w:rsid w:val="00DB4701"/>
    <w:rsid w:val="00DB4E76"/>
    <w:rsid w:val="00DB59C0"/>
    <w:rsid w:val="00DB6105"/>
    <w:rsid w:val="00DC0146"/>
    <w:rsid w:val="00DC03EE"/>
    <w:rsid w:val="00DC36B8"/>
    <w:rsid w:val="00DC53F2"/>
    <w:rsid w:val="00DC6B01"/>
    <w:rsid w:val="00DC7797"/>
    <w:rsid w:val="00DC7E53"/>
    <w:rsid w:val="00DC7ECC"/>
    <w:rsid w:val="00DD078A"/>
    <w:rsid w:val="00DD1737"/>
    <w:rsid w:val="00DD34E1"/>
    <w:rsid w:val="00DD45E7"/>
    <w:rsid w:val="00DD5462"/>
    <w:rsid w:val="00DD71F6"/>
    <w:rsid w:val="00DD7667"/>
    <w:rsid w:val="00DD777C"/>
    <w:rsid w:val="00DE0D2F"/>
    <w:rsid w:val="00DE0D75"/>
    <w:rsid w:val="00DE19EB"/>
    <w:rsid w:val="00DE24B6"/>
    <w:rsid w:val="00DE2CEB"/>
    <w:rsid w:val="00DE515B"/>
    <w:rsid w:val="00DE5B0F"/>
    <w:rsid w:val="00DF0FE3"/>
    <w:rsid w:val="00DF2CB1"/>
    <w:rsid w:val="00DF69F9"/>
    <w:rsid w:val="00E00C16"/>
    <w:rsid w:val="00E02579"/>
    <w:rsid w:val="00E02B50"/>
    <w:rsid w:val="00E04B3F"/>
    <w:rsid w:val="00E060C1"/>
    <w:rsid w:val="00E06B1E"/>
    <w:rsid w:val="00E07787"/>
    <w:rsid w:val="00E10AAF"/>
    <w:rsid w:val="00E11D49"/>
    <w:rsid w:val="00E145DC"/>
    <w:rsid w:val="00E147D5"/>
    <w:rsid w:val="00E14C0E"/>
    <w:rsid w:val="00E16642"/>
    <w:rsid w:val="00E170E3"/>
    <w:rsid w:val="00E1787C"/>
    <w:rsid w:val="00E22344"/>
    <w:rsid w:val="00E2249E"/>
    <w:rsid w:val="00E22B76"/>
    <w:rsid w:val="00E234F1"/>
    <w:rsid w:val="00E241ED"/>
    <w:rsid w:val="00E24E3A"/>
    <w:rsid w:val="00E25785"/>
    <w:rsid w:val="00E25AF8"/>
    <w:rsid w:val="00E25F78"/>
    <w:rsid w:val="00E26724"/>
    <w:rsid w:val="00E26C55"/>
    <w:rsid w:val="00E26F6C"/>
    <w:rsid w:val="00E31BD0"/>
    <w:rsid w:val="00E34CA3"/>
    <w:rsid w:val="00E35C4A"/>
    <w:rsid w:val="00E37A0F"/>
    <w:rsid w:val="00E37DA6"/>
    <w:rsid w:val="00E37FE3"/>
    <w:rsid w:val="00E40EB7"/>
    <w:rsid w:val="00E41628"/>
    <w:rsid w:val="00E4245D"/>
    <w:rsid w:val="00E43AAA"/>
    <w:rsid w:val="00E44C62"/>
    <w:rsid w:val="00E45259"/>
    <w:rsid w:val="00E47F40"/>
    <w:rsid w:val="00E5387C"/>
    <w:rsid w:val="00E53B90"/>
    <w:rsid w:val="00E54EF2"/>
    <w:rsid w:val="00E56492"/>
    <w:rsid w:val="00E60DC5"/>
    <w:rsid w:val="00E63559"/>
    <w:rsid w:val="00E63EE5"/>
    <w:rsid w:val="00E644B5"/>
    <w:rsid w:val="00E65754"/>
    <w:rsid w:val="00E67180"/>
    <w:rsid w:val="00E676E2"/>
    <w:rsid w:val="00E71C3A"/>
    <w:rsid w:val="00E7354C"/>
    <w:rsid w:val="00E74FA5"/>
    <w:rsid w:val="00E756A8"/>
    <w:rsid w:val="00E76032"/>
    <w:rsid w:val="00E768F2"/>
    <w:rsid w:val="00E77E9E"/>
    <w:rsid w:val="00E80726"/>
    <w:rsid w:val="00E80EE1"/>
    <w:rsid w:val="00E810A0"/>
    <w:rsid w:val="00E81DED"/>
    <w:rsid w:val="00E82316"/>
    <w:rsid w:val="00E825B3"/>
    <w:rsid w:val="00E83891"/>
    <w:rsid w:val="00E849DE"/>
    <w:rsid w:val="00E85948"/>
    <w:rsid w:val="00E86536"/>
    <w:rsid w:val="00E9167E"/>
    <w:rsid w:val="00E922A4"/>
    <w:rsid w:val="00E925CE"/>
    <w:rsid w:val="00E93F3F"/>
    <w:rsid w:val="00E950B7"/>
    <w:rsid w:val="00EA05D9"/>
    <w:rsid w:val="00EA1104"/>
    <w:rsid w:val="00EA5257"/>
    <w:rsid w:val="00EA59B6"/>
    <w:rsid w:val="00EA65C5"/>
    <w:rsid w:val="00EA7415"/>
    <w:rsid w:val="00EB0433"/>
    <w:rsid w:val="00EB08E1"/>
    <w:rsid w:val="00EB1B8B"/>
    <w:rsid w:val="00EB24EC"/>
    <w:rsid w:val="00EB3C54"/>
    <w:rsid w:val="00EB4951"/>
    <w:rsid w:val="00EB57BA"/>
    <w:rsid w:val="00EB595B"/>
    <w:rsid w:val="00EC098E"/>
    <w:rsid w:val="00EC0BCB"/>
    <w:rsid w:val="00EC0E71"/>
    <w:rsid w:val="00EC24C3"/>
    <w:rsid w:val="00EC289C"/>
    <w:rsid w:val="00EC3038"/>
    <w:rsid w:val="00EC44DB"/>
    <w:rsid w:val="00EC7995"/>
    <w:rsid w:val="00ED1CCD"/>
    <w:rsid w:val="00ED2129"/>
    <w:rsid w:val="00ED5738"/>
    <w:rsid w:val="00ED613A"/>
    <w:rsid w:val="00ED6CFA"/>
    <w:rsid w:val="00ED6D53"/>
    <w:rsid w:val="00EE1004"/>
    <w:rsid w:val="00EE1855"/>
    <w:rsid w:val="00EE2B68"/>
    <w:rsid w:val="00EE3733"/>
    <w:rsid w:val="00EE395E"/>
    <w:rsid w:val="00EE3A77"/>
    <w:rsid w:val="00EE6D70"/>
    <w:rsid w:val="00EF1386"/>
    <w:rsid w:val="00EF2491"/>
    <w:rsid w:val="00EF256B"/>
    <w:rsid w:val="00EF5277"/>
    <w:rsid w:val="00EF5CAD"/>
    <w:rsid w:val="00EF611F"/>
    <w:rsid w:val="00EF76E1"/>
    <w:rsid w:val="00F029AF"/>
    <w:rsid w:val="00F04099"/>
    <w:rsid w:val="00F0559D"/>
    <w:rsid w:val="00F05B66"/>
    <w:rsid w:val="00F1030E"/>
    <w:rsid w:val="00F1064B"/>
    <w:rsid w:val="00F10925"/>
    <w:rsid w:val="00F12F6C"/>
    <w:rsid w:val="00F133BD"/>
    <w:rsid w:val="00F13C49"/>
    <w:rsid w:val="00F13DAE"/>
    <w:rsid w:val="00F157D8"/>
    <w:rsid w:val="00F201AD"/>
    <w:rsid w:val="00F20F2B"/>
    <w:rsid w:val="00F21481"/>
    <w:rsid w:val="00F21B21"/>
    <w:rsid w:val="00F222BB"/>
    <w:rsid w:val="00F2491A"/>
    <w:rsid w:val="00F24EF6"/>
    <w:rsid w:val="00F252BF"/>
    <w:rsid w:val="00F254E4"/>
    <w:rsid w:val="00F26F5D"/>
    <w:rsid w:val="00F3022F"/>
    <w:rsid w:val="00F3036E"/>
    <w:rsid w:val="00F32B60"/>
    <w:rsid w:val="00F346FE"/>
    <w:rsid w:val="00F34C92"/>
    <w:rsid w:val="00F35D19"/>
    <w:rsid w:val="00F377AE"/>
    <w:rsid w:val="00F40688"/>
    <w:rsid w:val="00F41269"/>
    <w:rsid w:val="00F41319"/>
    <w:rsid w:val="00F44B13"/>
    <w:rsid w:val="00F45BE7"/>
    <w:rsid w:val="00F463D7"/>
    <w:rsid w:val="00F50163"/>
    <w:rsid w:val="00F510E2"/>
    <w:rsid w:val="00F515F1"/>
    <w:rsid w:val="00F5273A"/>
    <w:rsid w:val="00F52B55"/>
    <w:rsid w:val="00F52D6B"/>
    <w:rsid w:val="00F52E18"/>
    <w:rsid w:val="00F535E2"/>
    <w:rsid w:val="00F546FB"/>
    <w:rsid w:val="00F55335"/>
    <w:rsid w:val="00F55CF7"/>
    <w:rsid w:val="00F57D1C"/>
    <w:rsid w:val="00F6086A"/>
    <w:rsid w:val="00F6169B"/>
    <w:rsid w:val="00F62824"/>
    <w:rsid w:val="00F62D7C"/>
    <w:rsid w:val="00F632CA"/>
    <w:rsid w:val="00F634C8"/>
    <w:rsid w:val="00F67155"/>
    <w:rsid w:val="00F67ED2"/>
    <w:rsid w:val="00F70004"/>
    <w:rsid w:val="00F7058F"/>
    <w:rsid w:val="00F70D21"/>
    <w:rsid w:val="00F70FEF"/>
    <w:rsid w:val="00F73D70"/>
    <w:rsid w:val="00F73F06"/>
    <w:rsid w:val="00F7477D"/>
    <w:rsid w:val="00F74A92"/>
    <w:rsid w:val="00F74F3A"/>
    <w:rsid w:val="00F75C02"/>
    <w:rsid w:val="00F77ECB"/>
    <w:rsid w:val="00F80826"/>
    <w:rsid w:val="00F81BF8"/>
    <w:rsid w:val="00F81E47"/>
    <w:rsid w:val="00F824EF"/>
    <w:rsid w:val="00F8287F"/>
    <w:rsid w:val="00F84408"/>
    <w:rsid w:val="00F86474"/>
    <w:rsid w:val="00F868B4"/>
    <w:rsid w:val="00F86DB1"/>
    <w:rsid w:val="00F8730A"/>
    <w:rsid w:val="00F9016F"/>
    <w:rsid w:val="00F90601"/>
    <w:rsid w:val="00F93703"/>
    <w:rsid w:val="00F9407C"/>
    <w:rsid w:val="00F973CE"/>
    <w:rsid w:val="00FA1F23"/>
    <w:rsid w:val="00FA43A2"/>
    <w:rsid w:val="00FA78FD"/>
    <w:rsid w:val="00FB11BE"/>
    <w:rsid w:val="00FB1357"/>
    <w:rsid w:val="00FB1799"/>
    <w:rsid w:val="00FB1B56"/>
    <w:rsid w:val="00FB27F1"/>
    <w:rsid w:val="00FB4153"/>
    <w:rsid w:val="00FB4C6F"/>
    <w:rsid w:val="00FB5370"/>
    <w:rsid w:val="00FC0E93"/>
    <w:rsid w:val="00FC5390"/>
    <w:rsid w:val="00FC5E76"/>
    <w:rsid w:val="00FC69CF"/>
    <w:rsid w:val="00FC7214"/>
    <w:rsid w:val="00FC767B"/>
    <w:rsid w:val="00FD058F"/>
    <w:rsid w:val="00FD0B70"/>
    <w:rsid w:val="00FD11B8"/>
    <w:rsid w:val="00FD1440"/>
    <w:rsid w:val="00FD1489"/>
    <w:rsid w:val="00FD17D7"/>
    <w:rsid w:val="00FD17E2"/>
    <w:rsid w:val="00FD23BC"/>
    <w:rsid w:val="00FD25EE"/>
    <w:rsid w:val="00FD2DA9"/>
    <w:rsid w:val="00FD35FA"/>
    <w:rsid w:val="00FD4A2C"/>
    <w:rsid w:val="00FD5925"/>
    <w:rsid w:val="00FD59F1"/>
    <w:rsid w:val="00FD6FE2"/>
    <w:rsid w:val="00FD74CB"/>
    <w:rsid w:val="00FD7543"/>
    <w:rsid w:val="00FD7BF5"/>
    <w:rsid w:val="00FE185C"/>
    <w:rsid w:val="00FE1F46"/>
    <w:rsid w:val="00FE2572"/>
    <w:rsid w:val="00FE3C5F"/>
    <w:rsid w:val="00FE401B"/>
    <w:rsid w:val="00FE4705"/>
    <w:rsid w:val="00FE557C"/>
    <w:rsid w:val="00FE612E"/>
    <w:rsid w:val="00FF485F"/>
    <w:rsid w:val="00FF4C3A"/>
    <w:rsid w:val="00FF62F4"/>
    <w:rsid w:val="00FF65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46C74D25-2687-4BD8-A235-BB8C52CE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D7C"/>
    <w:pPr>
      <w:tabs>
        <w:tab w:val="left" w:pos="567"/>
      </w:tabs>
      <w:spacing w:line="260" w:lineRule="exact"/>
    </w:pPr>
    <w:rPr>
      <w:rFonts w:eastAsia="Times New Roman"/>
      <w:sz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New York" w:hAnsi="New York"/>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3F1EAE"/>
    <w:pPr>
      <w:autoSpaceDE w:val="0"/>
      <w:autoSpaceDN w:val="0"/>
      <w:adjustRightInd w:val="0"/>
    </w:pPr>
    <w:rPr>
      <w:color w:val="000000"/>
      <w:sz w:val="24"/>
      <w:szCs w:val="24"/>
      <w:lang w:val="en-GB" w:eastAsia="en-GB"/>
    </w:rPr>
  </w:style>
  <w:style w:type="paragraph" w:styleId="Caption">
    <w:name w:val="caption"/>
    <w:aliases w:val="Caption Char1,Caption Char Char,Caption Char1 Char2 Char Char,Caption Char Char Char2 Char Char,Caption Char1 Char Char Char1 Char Char,Caption Char Char Char Char Char1 Char Char,Caption Char1 Char Char Char Char Char Char Char,Caption Char"/>
    <w:basedOn w:val="Normal"/>
    <w:next w:val="BodyText"/>
    <w:link w:val="CaptionChar2"/>
    <w:qFormat/>
    <w:rsid w:val="00413309"/>
    <w:pPr>
      <w:keepNext/>
      <w:keepLines/>
      <w:tabs>
        <w:tab w:val="clear" w:pos="567"/>
      </w:tabs>
      <w:suppressAutoHyphens/>
      <w:spacing w:before="60" w:after="60" w:line="240" w:lineRule="auto"/>
      <w:ind w:left="1247" w:hanging="1247"/>
    </w:pPr>
    <w:rPr>
      <w:b/>
      <w:bCs/>
      <w:sz w:val="20"/>
      <w:lang w:eastAsia="en-GB"/>
    </w:rPr>
  </w:style>
  <w:style w:type="character" w:customStyle="1" w:styleId="CaptionChar2">
    <w:name w:val="Caption Char2"/>
    <w:aliases w:val="Caption Char1 Char,Caption Char Char Char,Caption Char1 Char2 Char Char Char,Caption Char Char Char2 Char Char Char,Caption Char1 Char Char Char1 Char Char Char,Caption Char Char Char Char Char1 Char Char Char,Caption Char Char1"/>
    <w:link w:val="Caption"/>
    <w:locked/>
    <w:rsid w:val="00413309"/>
    <w:rPr>
      <w:rFonts w:eastAsia="Times New Roman"/>
      <w:b/>
      <w:bCs/>
    </w:rPr>
  </w:style>
  <w:style w:type="paragraph" w:customStyle="1" w:styleId="ColorfulList-Accent11">
    <w:name w:val="Colorful List - Accent 11"/>
    <w:basedOn w:val="Normal"/>
    <w:uiPriority w:val="34"/>
    <w:qFormat/>
    <w:rsid w:val="00C874A1"/>
    <w:pPr>
      <w:tabs>
        <w:tab w:val="clear" w:pos="567"/>
      </w:tabs>
      <w:spacing w:after="200" w:line="276" w:lineRule="auto"/>
      <w:ind w:left="720"/>
      <w:contextualSpacing/>
    </w:pPr>
    <w:rPr>
      <w:rFonts w:ascii="Calibri" w:eastAsia="Calibri" w:hAnsi="Calibri"/>
      <w:szCs w:val="22"/>
      <w:lang w:val="da-DK"/>
    </w:rPr>
  </w:style>
  <w:style w:type="character" w:styleId="FootnoteReference">
    <w:name w:val="footnote reference"/>
    <w:rsid w:val="00A06FAD"/>
    <w:rPr>
      <w:sz w:val="24"/>
      <w:szCs w:val="24"/>
      <w:vertAlign w:val="superscript"/>
    </w:rPr>
  </w:style>
  <w:style w:type="paragraph" w:styleId="FootnoteText">
    <w:name w:val="footnote text"/>
    <w:basedOn w:val="Normal"/>
    <w:link w:val="FootnoteTextChar"/>
    <w:rsid w:val="00A06FAD"/>
    <w:pPr>
      <w:keepLines/>
      <w:tabs>
        <w:tab w:val="clear" w:pos="567"/>
      </w:tabs>
      <w:suppressAutoHyphens/>
      <w:spacing w:line="240" w:lineRule="auto"/>
      <w:ind w:left="720" w:hanging="720"/>
    </w:pPr>
    <w:rPr>
      <w:sz w:val="20"/>
      <w:lang w:eastAsia="en-GB"/>
    </w:rPr>
  </w:style>
  <w:style w:type="character" w:customStyle="1" w:styleId="FootnoteTextChar">
    <w:name w:val="Footnote Text Char"/>
    <w:link w:val="FootnoteText"/>
    <w:rsid w:val="00A06FAD"/>
    <w:rPr>
      <w:rFonts w:eastAsia="Times New Roman"/>
    </w:rPr>
  </w:style>
  <w:style w:type="table" w:styleId="TableGrid">
    <w:name w:val="Table Grid"/>
    <w:basedOn w:val="TableNormal"/>
    <w:uiPriority w:val="59"/>
    <w:rsid w:val="00A06FAD"/>
    <w:pPr>
      <w:keepLines/>
      <w:suppressAutoHyphens/>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
    <w:uiPriority w:val="20"/>
    <w:qFormat/>
    <w:rsid w:val="005C78D7"/>
    <w:pPr>
      <w:suppressAutoHyphens/>
      <w:spacing w:before="60" w:after="40"/>
    </w:pPr>
    <w:rPr>
      <w:i w:val="0"/>
      <w:color w:val="auto"/>
      <w:sz w:val="20"/>
      <w:lang w:eastAsia="en-GB"/>
    </w:rPr>
  </w:style>
  <w:style w:type="character" w:customStyle="1" w:styleId="TableTextChar">
    <w:name w:val="Table Text Char"/>
    <w:link w:val="TableText"/>
    <w:uiPriority w:val="20"/>
    <w:rsid w:val="005C78D7"/>
    <w:rPr>
      <w:rFonts w:eastAsia="Times New Roman"/>
      <w:lang w:val="en-GB" w:eastAsia="en-GB"/>
    </w:rPr>
  </w:style>
  <w:style w:type="paragraph" w:customStyle="1" w:styleId="ColorfulShading-Accent11">
    <w:name w:val="Colorful Shading - Accent 11"/>
    <w:hidden/>
    <w:uiPriority w:val="99"/>
    <w:semiHidden/>
    <w:rsid w:val="00C211E1"/>
    <w:rPr>
      <w:rFonts w:eastAsia="Times New Roman"/>
      <w:sz w:val="22"/>
      <w:lang w:val="en-GB" w:eastAsia="en-US"/>
    </w:rPr>
  </w:style>
  <w:style w:type="paragraph" w:styleId="ListBullet">
    <w:name w:val="List Bullet"/>
    <w:basedOn w:val="Normal"/>
    <w:rsid w:val="00A93CF4"/>
    <w:pPr>
      <w:numPr>
        <w:numId w:val="31"/>
      </w:numPr>
      <w:contextualSpacing/>
    </w:pPr>
  </w:style>
  <w:style w:type="paragraph" w:styleId="NoSpacing">
    <w:name w:val="No Spacing"/>
    <w:uiPriority w:val="1"/>
    <w:qFormat/>
    <w:rsid w:val="00165F64"/>
    <w:pPr>
      <w:tabs>
        <w:tab w:val="left" w:pos="567"/>
      </w:tabs>
    </w:pPr>
    <w:rPr>
      <w:rFonts w:eastAsia="Times New Roman"/>
      <w:sz w:val="22"/>
      <w:lang w:val="en-GB" w:eastAsia="en-US"/>
    </w:rPr>
  </w:style>
  <w:style w:type="paragraph" w:styleId="Revision">
    <w:name w:val="Revision"/>
    <w:hidden/>
    <w:uiPriority w:val="99"/>
    <w:semiHidden/>
    <w:rsid w:val="00E644B5"/>
    <w:rPr>
      <w:rFonts w:eastAsia="Times New Roman"/>
      <w:sz w:val="22"/>
      <w:lang w:val="en-GB" w:eastAsia="en-US"/>
    </w:rPr>
  </w:style>
  <w:style w:type="character" w:customStyle="1" w:styleId="BalloonTextChar">
    <w:name w:val="Balloon Text Char"/>
    <w:link w:val="BalloonText"/>
    <w:semiHidden/>
    <w:rsid w:val="00545B00"/>
    <w:rPr>
      <w:rFonts w:ascii="Tahoma" w:eastAsia="Times New Roman"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85091891">
      <w:bodyDiv w:val="1"/>
      <w:marLeft w:val="0"/>
      <w:marRight w:val="0"/>
      <w:marTop w:val="0"/>
      <w:marBottom w:val="0"/>
      <w:divBdr>
        <w:top w:val="none" w:sz="0" w:space="0" w:color="auto"/>
        <w:left w:val="none" w:sz="0" w:space="0" w:color="auto"/>
        <w:bottom w:val="none" w:sz="0" w:space="0" w:color="auto"/>
        <w:right w:val="none" w:sz="0" w:space="0" w:color="auto"/>
      </w:divBdr>
    </w:div>
    <w:div w:id="1701054354">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34EC5-4225-4363-B027-1A837C994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4510</Words>
  <Characters>25710</Characters>
  <Application>Microsoft Office Word</Application>
  <DocSecurity>0</DocSecurity>
  <Lines>214</Lines>
  <Paragraphs>60</Paragraphs>
  <ScaleCrop>false</ScaleCrop>
  <HeadingPairs>
    <vt:vector size="6" baseType="variant">
      <vt:variant>
        <vt:lpstr>Title</vt:lpstr>
      </vt:variant>
      <vt:variant>
        <vt:i4>1</vt:i4>
      </vt:variant>
      <vt:variant>
        <vt:lpstr>Titel</vt:lpstr>
      </vt:variant>
      <vt:variant>
        <vt:i4>1</vt:i4>
      </vt:variant>
      <vt:variant>
        <vt:lpstr>Koppen</vt:lpstr>
      </vt:variant>
      <vt:variant>
        <vt:i4>100</vt:i4>
      </vt:variant>
    </vt:vector>
  </HeadingPairs>
  <TitlesOfParts>
    <vt:vector size="102" baseType="lpstr">
      <vt:lpstr/>
      <vt:lpstr/>
      <vt:lpstr/>
      <vt:lpstr/>
      <vt:lpstr/>
      <vt:lpstr/>
      <vt:lpstr/>
      <vt:lpstr/>
      <vt:lpstr/>
      <vt:lpstr/>
      <vt:lpstr/>
      <vt:lpstr/>
      <vt:lpstr/>
      <vt:lpstr/>
      <vt:lpstr/>
      <vt:lpstr/>
      <vt:lpstr/>
      <vt:lpstr/>
      <vt:lpstr/>
      <vt:lpstr/>
      <vt:lpstr/>
      <vt:lpstr/>
      <vt:lpstr/>
      <vt:lpstr/>
      <vt:lpstr/>
      <vt:lpstr>BIJLAGE I</vt:lpstr>
      <vt:lpstr/>
      <vt:lpstr>SAMENVATTING VAN DE PRODUCTKENMERKEN</vt:lpstr>
      <vt:lpstr>4.1	Therapeutische indicaties</vt:lpstr>
      <vt:lpstr>4.2	Dosering en wijze van toediening</vt:lpstr>
      <vt:lpstr>4.5	Interacties met andere geneesmiddelen en andere vormen van interactie</vt:lpstr>
      <vt:lpstr>4.6	Vruchtbaarheid, zwangerschap en borstvoeding</vt:lpstr>
      <vt:lpstr>4.7	Beïnvloeding van de rijvaardigheid en het vermogen om machines te bedienen</vt:lpstr>
      <vt:lpstr>4.8	Bijwerkingen</vt:lpstr>
      <vt:lpstr>4.9	Overdosering</vt:lpstr>
      <vt:lpstr>De studieHet onderzoek toonde aan dat REKOVELLE ten minste even doeltreffend was</vt:lpstr>
      <vt:lpstr/>
      <vt:lpstr/>
      <vt:lpstr>Bij de gehele onderzoeksstudie populatie bedroeg het gemiddeld aantal gewonnen o</vt:lpstr>
      <vt:lpstr/>
      <vt:lpstr>Bij patiënten met AMH ≥ 15 pmol/l was de ovariële respons met REKOVELLE (N = 355</vt:lpstr>
      <vt:lpstr/>
      <vt:lpstr>Bij ovulatoire patiënten met polycysteuze ovaria was de incidentie van vroeg mat</vt:lpstr>
      <vt:lpstr/>
      <vt:lpstr>Veiligheid – immunogeniciteit</vt:lpstr>
      <vt:lpstr>Er is geen klinische onderzoekservaring met REKOVELLE in het lange GnRH-agonistp</vt:lpstr>
      <vt:lpstr/>
      <vt:lpstr>5.2	Farmacokinetische eigenschappen</vt:lpstr>
      <vt:lpstr/>
      <vt:lpstr>5.3	Gegevens uit het preklinisch veiligheidsonderzoek</vt:lpstr>
      <vt:lpstr>6.1	Lijst van hulpstoffen</vt:lpstr>
      <vt:lpstr>6.2	Gevallen van onverenigbaarheid</vt:lpstr>
      <vt:lpstr>6.3	Houdbaarheid</vt:lpstr>
      <vt:lpstr>6.4	Speciale voorzorgsmaatregelen bij bewaren</vt:lpstr>
      <vt:lpstr/>
      <vt:lpstr>6.5	Aard en inhoud van de verpakking</vt:lpstr>
      <vt:lpstr/>
      <vt:lpstr>6.6	Speciale voorzorgsmaatregelen voor het verwijderen en andere instructies</vt:lpstr>
      <vt:lpstr/>
      <vt:lpstr/>
      <vt:lpstr/>
      <vt:lpstr/>
      <vt:lpstr/>
      <vt:lpstr/>
      <vt:lpstr>BIJLAGE III</vt:lpstr>
      <vt:lpstr>ETIKETTERING EN BIJSLUITER</vt:lpstr>
      <vt:lpstr/>
      <vt:lpstr/>
      <vt:lpstr/>
      <vt:lpstr/>
      <vt:lpstr/>
      <vt:lpstr/>
      <vt:lpstr/>
      <vt:lpstr/>
      <vt:lpstr/>
      <vt:lpstr/>
      <vt:lpstr/>
      <vt:lpstr/>
      <vt:lpstr/>
      <vt:lpstr/>
      <vt:lpstr/>
      <vt:lpstr/>
      <vt:lpstr/>
      <vt:lpstr/>
      <vt:lpstr/>
      <vt:lpstr/>
      <vt:lpstr/>
      <vt:lpstr/>
      <vt:lpstr>A. ETIKETTERING</vt:lpstr>
      <vt:lpstr>1.	NAAM VAN HET GENEESMIDDEL</vt:lpstr>
      <vt:lpstr>2.	GEHALTE AAN WERKZAME STOF(FEN)</vt:lpstr>
      <vt:lpstr>3.	LIJST VAN HULPSTOFFEN</vt:lpstr>
      <vt:lpstr>4.	FARMACEUTISCHE VORM EN INHOUD</vt:lpstr>
      <vt:lpstr>5.	WIJZE VAN GEBRUIK EN TOEDIENINGSWEG(EN)</vt:lpstr>
      <vt:lpstr>6.	EEN SPECIALE WAARSCHUWING DAT HET GENEESMIDDEL BUITEN HET ZICHT EN BEREIK VAN</vt:lpstr>
      <vt:lpstr>Buiten het zicht en bereik van kinderen houden.</vt:lpstr>
      <vt:lpstr>7.	ANDERE SPECIALE WAARSCHUWING(EN), INDIEN NODIG</vt:lpstr>
      <vt:lpstr>8.	UITERSTE GEBRUIKSDATUM</vt:lpstr>
      <vt:lpstr>9.	BIJZONDERE VOORZORGSMAATREGELEN VOOR DE BEWARING</vt:lpstr>
      <vt:lpstr>10.	BIJZONDERE VOORZORGSMAATREGELEN VOOR HET VERWIJDEREN VAN NIET-GEBRUIKTE GENE</vt:lpstr>
      <vt:lpstr>11.	NAAM EN ADRES VAN DE HOUDER VAN DE VERGUNNING VOOR HET IN DE HANDEL BRENGEN</vt:lpstr>
      <vt:lpstr>12.	NUMMER(S) VAN DE VERGUNNING VOOR HET IN DE HANDEL BRENGEN </vt:lpstr>
    </vt:vector>
  </TitlesOfParts>
  <Company>Ferring Group</Company>
  <LinksUpToDate>false</LinksUpToDate>
  <CharactersWithSpaces>30160</CharactersWithSpaces>
  <SharedDoc>false</SharedDoc>
  <HLinks>
    <vt:vector size="18" baseType="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Wilkens c.s.</dc:creator>
  <cp:lastModifiedBy>van Alphen, Ghislaine</cp:lastModifiedBy>
  <cp:revision>2</cp:revision>
  <dcterms:created xsi:type="dcterms:W3CDTF">2017-02-09T14:15:00Z</dcterms:created>
  <dcterms:modified xsi:type="dcterms:W3CDTF">2017-02-09T14:15:00Z</dcterms:modified>
</cp:coreProperties>
</file>