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005" w:rsidRDefault="0091522A">
      <w:pPr>
        <w:pStyle w:val="Tytu"/>
        <w:rPr>
          <w:sz w:val="52"/>
        </w:rPr>
      </w:pPr>
      <w:r>
        <w:rPr>
          <w:sz w:val="52"/>
        </w:rPr>
        <w:t>Uniwersytet Łódzki</w:t>
      </w:r>
    </w:p>
    <w:p w:rsidR="003F5005" w:rsidRDefault="003F5005">
      <w:pPr>
        <w:jc w:val="center"/>
        <w:rPr>
          <w:sz w:val="52"/>
        </w:rPr>
      </w:pPr>
      <w:r>
        <w:rPr>
          <w:sz w:val="52"/>
        </w:rPr>
        <w:t xml:space="preserve">Wydział </w:t>
      </w:r>
      <w:r w:rsidR="0091522A">
        <w:rPr>
          <w:sz w:val="52"/>
        </w:rPr>
        <w:t>Matematyki i Informatyki</w:t>
      </w:r>
    </w:p>
    <w:p w:rsidR="003F5005" w:rsidRDefault="003F5005">
      <w:pPr>
        <w:jc w:val="center"/>
        <w:rPr>
          <w:sz w:val="48"/>
        </w:rPr>
      </w:pPr>
    </w:p>
    <w:p w:rsidR="003F5005" w:rsidRDefault="003F5005">
      <w:pPr>
        <w:jc w:val="center"/>
        <w:rPr>
          <w:sz w:val="48"/>
        </w:rPr>
      </w:pPr>
    </w:p>
    <w:p w:rsidR="003F5005" w:rsidRDefault="003F5005">
      <w:pPr>
        <w:jc w:val="center"/>
        <w:rPr>
          <w:sz w:val="48"/>
        </w:rPr>
      </w:pPr>
    </w:p>
    <w:p w:rsidR="003F5005" w:rsidRDefault="003F5005">
      <w:pPr>
        <w:jc w:val="center"/>
        <w:rPr>
          <w:sz w:val="48"/>
        </w:rPr>
      </w:pPr>
    </w:p>
    <w:p w:rsidR="003F5005" w:rsidRDefault="003F5005">
      <w:pPr>
        <w:jc w:val="center"/>
        <w:rPr>
          <w:sz w:val="32"/>
        </w:rPr>
      </w:pPr>
    </w:p>
    <w:p w:rsidR="003F5005" w:rsidRDefault="003F5005">
      <w:pPr>
        <w:jc w:val="center"/>
        <w:rPr>
          <w:sz w:val="32"/>
        </w:rPr>
      </w:pPr>
    </w:p>
    <w:p w:rsidR="003F5005" w:rsidRDefault="003F5005">
      <w:pPr>
        <w:rPr>
          <w:sz w:val="32"/>
        </w:rPr>
      </w:pPr>
      <w:r>
        <w:rPr>
          <w:sz w:val="32"/>
        </w:rPr>
        <w:t>Temat ćwiczenia:</w:t>
      </w:r>
    </w:p>
    <w:p w:rsidR="003F5005" w:rsidRDefault="003F5005">
      <w:pPr>
        <w:pStyle w:val="Tekstpodstawowy"/>
        <w:jc w:val="center"/>
      </w:pPr>
      <w:r>
        <w:t>Zastosowanie sieci o radialnych funkcjach bazowych do prognozowania dobowego przebiegu zapotrzebowania na energię elektryczną</w:t>
      </w:r>
    </w:p>
    <w:p w:rsidR="003F5005" w:rsidRDefault="003F5005"/>
    <w:p w:rsidR="003F5005" w:rsidRDefault="003F5005"/>
    <w:p w:rsidR="003F5005" w:rsidRDefault="003F5005"/>
    <w:p w:rsidR="003F5005" w:rsidRDefault="003F5005"/>
    <w:p w:rsidR="003F5005" w:rsidRDefault="003F5005"/>
    <w:p w:rsidR="003F5005" w:rsidRDefault="003F5005"/>
    <w:p w:rsidR="003F5005" w:rsidRDefault="003F5005"/>
    <w:p w:rsidR="003F5005" w:rsidRDefault="003F5005"/>
    <w:p w:rsidR="003F5005" w:rsidRDefault="003F5005"/>
    <w:p w:rsidR="003F5005" w:rsidRDefault="003F5005">
      <w:pPr>
        <w:ind w:left="1080"/>
        <w:rPr>
          <w:b/>
          <w:bCs/>
          <w:i/>
          <w:iCs/>
        </w:rPr>
      </w:pPr>
      <w:r>
        <w:t xml:space="preserve">Sprawozdanie z przedmiotu: </w:t>
      </w:r>
      <w:r w:rsidR="0091522A">
        <w:rPr>
          <w:b/>
          <w:bCs/>
          <w:i/>
          <w:iCs/>
        </w:rPr>
        <w:t>Zaawansowane Metody Eksploracji</w:t>
      </w:r>
    </w:p>
    <w:p w:rsidR="00197485" w:rsidRPr="00197485" w:rsidRDefault="00197485">
      <w:pPr>
        <w:ind w:left="1080"/>
      </w:pPr>
      <w:r w:rsidRPr="00197485">
        <w:t>Studia stacjonarne 2-go stopnia</w:t>
      </w:r>
    </w:p>
    <w:p w:rsidR="00197485" w:rsidRDefault="00197485">
      <w:pPr>
        <w:ind w:left="1080"/>
      </w:pPr>
      <w:r>
        <w:t xml:space="preserve">Kierunek: </w:t>
      </w:r>
      <w:r w:rsidRPr="00197485">
        <w:rPr>
          <w:i/>
        </w:rPr>
        <w:t xml:space="preserve">Analiza Danych, </w:t>
      </w:r>
      <w:proofErr w:type="spellStart"/>
      <w:r w:rsidR="003F5005" w:rsidRPr="00197485">
        <w:rPr>
          <w:i/>
        </w:rPr>
        <w:t>sem</w:t>
      </w:r>
      <w:proofErr w:type="spellEnd"/>
      <w:r w:rsidR="003F5005" w:rsidRPr="00197485">
        <w:rPr>
          <w:i/>
        </w:rPr>
        <w:t xml:space="preserve">. </w:t>
      </w:r>
      <w:r w:rsidRPr="00197485">
        <w:rPr>
          <w:i/>
        </w:rPr>
        <w:t>1</w:t>
      </w:r>
    </w:p>
    <w:p w:rsidR="003F5005" w:rsidRDefault="003F5005">
      <w:pPr>
        <w:ind w:left="1080"/>
        <w:rPr>
          <w:i/>
          <w:iCs/>
        </w:rPr>
      </w:pPr>
      <w:r>
        <w:t>Prowadzący</w:t>
      </w:r>
      <w:r w:rsidR="00197485">
        <w:t>:</w:t>
      </w:r>
      <w:r>
        <w:t xml:space="preserve"> </w:t>
      </w:r>
      <w:r w:rsidR="0091522A">
        <w:rPr>
          <w:i/>
          <w:iCs/>
        </w:rPr>
        <w:t>prof. dr</w:t>
      </w:r>
      <w:r>
        <w:rPr>
          <w:i/>
          <w:iCs/>
        </w:rPr>
        <w:t xml:space="preserve"> </w:t>
      </w:r>
      <w:r w:rsidR="0091522A">
        <w:rPr>
          <w:i/>
          <w:iCs/>
        </w:rPr>
        <w:t xml:space="preserve">hab. </w:t>
      </w:r>
      <w:r>
        <w:rPr>
          <w:i/>
          <w:iCs/>
        </w:rPr>
        <w:t>inż. Grzegorz Dudek</w:t>
      </w:r>
    </w:p>
    <w:tbl>
      <w:tblPr>
        <w:tblW w:w="6480" w:type="dxa"/>
        <w:tblInd w:w="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3240"/>
      </w:tblGrid>
      <w:tr w:rsidR="003F5005">
        <w:tc>
          <w:tcPr>
            <w:tcW w:w="3240" w:type="dxa"/>
            <w:tcBorders>
              <w:left w:val="nil"/>
            </w:tcBorders>
          </w:tcPr>
          <w:p w:rsidR="003F5005" w:rsidRDefault="003F5005">
            <w:pPr>
              <w:spacing w:before="120" w:after="120"/>
            </w:pPr>
            <w:r>
              <w:t xml:space="preserve">Data wykonania ćwiczenia: </w:t>
            </w:r>
          </w:p>
        </w:tc>
        <w:tc>
          <w:tcPr>
            <w:tcW w:w="3240" w:type="dxa"/>
            <w:tcBorders>
              <w:right w:val="nil"/>
            </w:tcBorders>
          </w:tcPr>
          <w:p w:rsidR="003F5005" w:rsidRDefault="003F5005" w:rsidP="0091522A">
            <w:pPr>
              <w:spacing w:before="120" w:after="120"/>
              <w:ind w:left="-5"/>
            </w:pPr>
            <w:r>
              <w:t>21.09.20</w:t>
            </w:r>
            <w:r w:rsidR="0091522A">
              <w:t>2</w:t>
            </w:r>
            <w:r>
              <w:t>3, 28.09.20</w:t>
            </w:r>
            <w:r w:rsidR="0091522A">
              <w:t>2</w:t>
            </w:r>
            <w:r>
              <w:t>3</w:t>
            </w:r>
          </w:p>
        </w:tc>
      </w:tr>
      <w:tr w:rsidR="003F5005">
        <w:tc>
          <w:tcPr>
            <w:tcW w:w="3240" w:type="dxa"/>
            <w:tcBorders>
              <w:left w:val="nil"/>
            </w:tcBorders>
          </w:tcPr>
          <w:p w:rsidR="003F5005" w:rsidRDefault="003F5005">
            <w:pPr>
              <w:spacing w:before="120" w:after="120"/>
            </w:pPr>
            <w:r>
              <w:t>Data złożenia sprawozdania:</w:t>
            </w:r>
          </w:p>
        </w:tc>
        <w:tc>
          <w:tcPr>
            <w:tcW w:w="3240" w:type="dxa"/>
            <w:tcBorders>
              <w:right w:val="nil"/>
            </w:tcBorders>
          </w:tcPr>
          <w:p w:rsidR="003F5005" w:rsidRDefault="003F5005">
            <w:pPr>
              <w:spacing w:before="120" w:after="120"/>
              <w:ind w:left="1080"/>
            </w:pPr>
          </w:p>
        </w:tc>
      </w:tr>
      <w:tr w:rsidR="003F5005">
        <w:tc>
          <w:tcPr>
            <w:tcW w:w="3240" w:type="dxa"/>
            <w:tcBorders>
              <w:left w:val="nil"/>
            </w:tcBorders>
          </w:tcPr>
          <w:p w:rsidR="003F5005" w:rsidRDefault="003F5005">
            <w:pPr>
              <w:spacing w:before="120" w:after="120"/>
            </w:pPr>
            <w:r>
              <w:t>Data zaliczenia:</w:t>
            </w:r>
          </w:p>
        </w:tc>
        <w:tc>
          <w:tcPr>
            <w:tcW w:w="3240" w:type="dxa"/>
            <w:tcBorders>
              <w:right w:val="nil"/>
            </w:tcBorders>
          </w:tcPr>
          <w:p w:rsidR="003F5005" w:rsidRDefault="003F5005">
            <w:pPr>
              <w:spacing w:before="120" w:after="120"/>
              <w:ind w:left="1080"/>
            </w:pPr>
          </w:p>
        </w:tc>
      </w:tr>
    </w:tbl>
    <w:p w:rsidR="003F5005" w:rsidRDefault="003F5005"/>
    <w:p w:rsidR="003F5005" w:rsidRDefault="003F5005">
      <w:pPr>
        <w:tabs>
          <w:tab w:val="left" w:pos="6000"/>
        </w:tabs>
        <w:ind w:left="5040"/>
        <w:rPr>
          <w:sz w:val="28"/>
        </w:rPr>
      </w:pPr>
    </w:p>
    <w:tbl>
      <w:tblPr>
        <w:tblW w:w="0" w:type="auto"/>
        <w:tblInd w:w="4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0"/>
        <w:gridCol w:w="1869"/>
      </w:tblGrid>
      <w:tr w:rsidR="003F5005" w:rsidTr="00FA699E"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:rsidR="003F5005" w:rsidRDefault="00FA699E">
            <w:pPr>
              <w:tabs>
                <w:tab w:val="left" w:pos="6000"/>
              </w:tabs>
              <w:spacing w:before="120" w:after="120"/>
              <w:rPr>
                <w:sz w:val="28"/>
              </w:rPr>
            </w:pPr>
            <w:r>
              <w:rPr>
                <w:sz w:val="28"/>
              </w:rPr>
              <w:t>Student</w:t>
            </w:r>
            <w:r w:rsidR="003F5005">
              <w:rPr>
                <w:sz w:val="28"/>
              </w:rPr>
              <w:t>:</w:t>
            </w:r>
          </w:p>
        </w:tc>
        <w:tc>
          <w:tcPr>
            <w:tcW w:w="1869" w:type="dxa"/>
            <w:tcBorders>
              <w:bottom w:val="single" w:sz="4" w:space="0" w:color="auto"/>
            </w:tcBorders>
            <w:vAlign w:val="center"/>
          </w:tcPr>
          <w:p w:rsidR="003F5005" w:rsidRDefault="003F5005">
            <w:pPr>
              <w:tabs>
                <w:tab w:val="left" w:pos="6000"/>
              </w:tabs>
              <w:spacing w:before="120" w:after="120"/>
              <w:rPr>
                <w:sz w:val="28"/>
              </w:rPr>
            </w:pPr>
            <w:r>
              <w:rPr>
                <w:sz w:val="28"/>
              </w:rPr>
              <w:t>Ocena:</w:t>
            </w:r>
          </w:p>
        </w:tc>
      </w:tr>
      <w:tr w:rsidR="003F5005" w:rsidTr="00FA699E">
        <w:tc>
          <w:tcPr>
            <w:tcW w:w="24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005" w:rsidRDefault="003F5005">
            <w:pPr>
              <w:tabs>
                <w:tab w:val="left" w:pos="6000"/>
              </w:tabs>
              <w:spacing w:before="120" w:after="120"/>
              <w:rPr>
                <w:sz w:val="28"/>
              </w:rPr>
            </w:pPr>
            <w:r>
              <w:rPr>
                <w:b/>
                <w:bCs/>
                <w:sz w:val="28"/>
              </w:rPr>
              <w:t>Jan Kowalski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F5005" w:rsidRDefault="003F5005">
            <w:pPr>
              <w:tabs>
                <w:tab w:val="left" w:pos="6000"/>
              </w:tabs>
              <w:spacing w:before="120" w:after="120"/>
              <w:rPr>
                <w:sz w:val="28"/>
              </w:rPr>
            </w:pPr>
          </w:p>
        </w:tc>
      </w:tr>
    </w:tbl>
    <w:p w:rsidR="00FA699E" w:rsidRDefault="00FA699E">
      <w:pPr>
        <w:tabs>
          <w:tab w:val="left" w:pos="6000"/>
        </w:tabs>
        <w:spacing w:before="120" w:after="120"/>
        <w:ind w:left="4680"/>
        <w:rPr>
          <w:sz w:val="28"/>
        </w:rPr>
      </w:pPr>
    </w:p>
    <w:p w:rsidR="003F5005" w:rsidRDefault="003F5005">
      <w:pPr>
        <w:tabs>
          <w:tab w:val="left" w:pos="6000"/>
        </w:tabs>
        <w:spacing w:before="120" w:after="120"/>
        <w:ind w:left="4680"/>
        <w:rPr>
          <w:sz w:val="28"/>
        </w:rPr>
      </w:pPr>
      <w:r>
        <w:rPr>
          <w:sz w:val="28"/>
        </w:rPr>
        <w:t xml:space="preserve">Nr </w:t>
      </w:r>
      <w:r w:rsidR="0091522A">
        <w:rPr>
          <w:sz w:val="28"/>
        </w:rPr>
        <w:t>sekcji</w:t>
      </w:r>
      <w:r>
        <w:rPr>
          <w:sz w:val="28"/>
        </w:rPr>
        <w:t xml:space="preserve">: </w:t>
      </w:r>
      <w:r>
        <w:rPr>
          <w:b/>
          <w:bCs/>
          <w:sz w:val="48"/>
        </w:rPr>
        <w:t>7.2</w:t>
      </w:r>
      <w:r>
        <w:rPr>
          <w:sz w:val="28"/>
        </w:rPr>
        <w:t xml:space="preserve"> </w:t>
      </w: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  <w:r>
        <w:rPr>
          <w:sz w:val="28"/>
        </w:rPr>
        <w:br w:type="page"/>
      </w:r>
      <w:r>
        <w:rPr>
          <w:b/>
          <w:bCs/>
          <w:sz w:val="28"/>
        </w:rPr>
        <w:lastRenderedPageBreak/>
        <w:t>A. Cel ćwiczenia</w:t>
      </w:r>
    </w:p>
    <w:p w:rsidR="003F5005" w:rsidRDefault="003F5005">
      <w:pPr>
        <w:tabs>
          <w:tab w:val="left" w:pos="6000"/>
        </w:tabs>
        <w:jc w:val="both"/>
      </w:pPr>
    </w:p>
    <w:p w:rsidR="003F5005" w:rsidRDefault="003F5005">
      <w:pPr>
        <w:tabs>
          <w:tab w:val="left" w:pos="6000"/>
        </w:tabs>
        <w:jc w:val="both"/>
      </w:pPr>
      <w:r>
        <w:t xml:space="preserve">Zapoznanie się z budową, funkcjonowaniem i metodą uczenia sieci neuronowej o radialnych funkcjach bazowych. Zwrócenie uwagi na istotę wstępnego przetworzenia danych i selekcji wejść. Zapoznanie się z problematyką prognozowania procesów wykazujących cechy quasi-periodyczności. </w:t>
      </w:r>
    </w:p>
    <w:p w:rsidR="003F5005" w:rsidRDefault="003F5005">
      <w:pPr>
        <w:tabs>
          <w:tab w:val="left" w:pos="6000"/>
        </w:tabs>
        <w:jc w:val="both"/>
      </w:pP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  <w:r>
        <w:rPr>
          <w:b/>
          <w:bCs/>
          <w:sz w:val="28"/>
        </w:rPr>
        <w:t>B. Budowa i działanie sieci neuronowej o radialnych funkcjach bazowych</w:t>
      </w:r>
    </w:p>
    <w:p w:rsidR="003F5005" w:rsidRDefault="003F5005">
      <w:pPr>
        <w:jc w:val="both"/>
      </w:pPr>
    </w:p>
    <w:p w:rsidR="003F5005" w:rsidRDefault="003F5005">
      <w:pPr>
        <w:jc w:val="both"/>
      </w:pPr>
      <w:r>
        <w:t>Sieci o radialnych funkcjach bazowych (</w:t>
      </w:r>
      <w:proofErr w:type="spellStart"/>
      <w:r>
        <w:rPr>
          <w:i/>
        </w:rPr>
        <w:t>radial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basis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function</w:t>
      </w:r>
      <w:proofErr w:type="spellEnd"/>
      <w:r>
        <w:rPr>
          <w:i/>
        </w:rPr>
        <w:t xml:space="preserve"> network - RBF</w:t>
      </w:r>
      <w:r>
        <w:t xml:space="preserve">) składają się z trzech warstw (rys. 1). </w:t>
      </w:r>
    </w:p>
    <w:p w:rsidR="003F5005" w:rsidRDefault="003F5005">
      <w:pPr>
        <w:jc w:val="center"/>
      </w:pPr>
      <w:r>
        <w:object w:dxaOrig="11616" w:dyaOrig="66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pt;height:171pt" o:ole="" fillcolor="window">
            <v:imagedata r:id="rId7" o:title="" croptop="2779f" cropbottom="11117f" cropleft="12794f" cropright="9596f"/>
          </v:shape>
          <o:OLEObject Type="Embed" ProgID="AutoCAD.Drawing.14" ShapeID="_x0000_i1025" DrawAspect="Content" ObjectID="_1833364317" r:id="rId8"/>
        </w:object>
      </w:r>
    </w:p>
    <w:p w:rsidR="003F5005" w:rsidRDefault="003F5005">
      <w:pPr>
        <w:jc w:val="center"/>
        <w:rPr>
          <w:sz w:val="20"/>
        </w:rPr>
      </w:pPr>
      <w:r>
        <w:rPr>
          <w:sz w:val="20"/>
        </w:rPr>
        <w:t>Rys.1. Architektura sieci RBF.</w:t>
      </w:r>
    </w:p>
    <w:p w:rsidR="003F5005" w:rsidRDefault="003F5005">
      <w:pPr>
        <w:jc w:val="both"/>
      </w:pPr>
    </w:p>
    <w:p w:rsidR="003F5005" w:rsidRDefault="003F5005">
      <w:pPr>
        <w:jc w:val="both"/>
      </w:pPr>
      <w:r>
        <w:t xml:space="preserve">Neurony w warstwie ukrytej stanowią bazę dla wektorów wejściowych </w:t>
      </w:r>
      <w:r>
        <w:rPr>
          <w:b/>
        </w:rPr>
        <w:t>x</w:t>
      </w:r>
      <w:r>
        <w:t xml:space="preserve">, odwzorowując je nieliniowo. Każdy neuron tej warstwy realizuje funkcję zmieniającą się radialnie wokół centrum </w:t>
      </w:r>
      <w:r>
        <w:rPr>
          <w:b/>
        </w:rPr>
        <w:t>C</w:t>
      </w:r>
      <w:r>
        <w:rPr>
          <w:vertAlign w:val="subscript"/>
        </w:rPr>
        <w:t>i</w:t>
      </w:r>
      <w:r>
        <w:t>, np. funkcję Gaussa:</w:t>
      </w:r>
    </w:p>
    <w:p w:rsidR="003F5005" w:rsidRDefault="003F5005">
      <w:pPr>
        <w:jc w:val="both"/>
      </w:pPr>
    </w:p>
    <w:p w:rsidR="003F5005" w:rsidRDefault="003F5005">
      <w:pPr>
        <w:ind w:left="2124" w:firstLine="708"/>
        <w:jc w:val="both"/>
      </w:pPr>
      <w:r>
        <w:rPr>
          <w:position w:val="-38"/>
        </w:rPr>
        <w:object w:dxaOrig="2640" w:dyaOrig="880">
          <v:shape id="_x0000_i1026" type="#_x0000_t75" style="width:132pt;height:43.8pt" o:ole="">
            <v:imagedata r:id="rId9" o:title=""/>
          </v:shape>
          <o:OLEObject Type="Embed" ProgID="Equation.3" ShapeID="_x0000_i1026" DrawAspect="Content" ObjectID="_1833364318" r:id="rId10"/>
        </w:object>
      </w:r>
      <w:r>
        <w:t>,</w:t>
      </w:r>
      <w:r>
        <w:tab/>
      </w:r>
      <w:r>
        <w:tab/>
      </w:r>
      <w:r>
        <w:tab/>
      </w:r>
      <w:r>
        <w:tab/>
      </w:r>
      <w:r>
        <w:tab/>
        <w:t>(1)</w:t>
      </w:r>
    </w:p>
    <w:p w:rsidR="003F5005" w:rsidRDefault="003F5005">
      <w:pPr>
        <w:jc w:val="both"/>
      </w:pPr>
    </w:p>
    <w:p w:rsidR="003F5005" w:rsidRDefault="003F5005">
      <w:pPr>
        <w:jc w:val="both"/>
      </w:pPr>
      <w:r>
        <w:t xml:space="preserve">w której: ||.|| - norma euklidesowa, </w:t>
      </w:r>
      <w:r>
        <w:sym w:font="Symbol" w:char="F073"/>
      </w:r>
      <w:r>
        <w:rPr>
          <w:vertAlign w:val="subscript"/>
        </w:rPr>
        <w:t>i</w:t>
      </w:r>
      <w:r>
        <w:rPr>
          <w:i/>
        </w:rPr>
        <w:t xml:space="preserve"> </w:t>
      </w:r>
      <w:r>
        <w:t xml:space="preserve">– parametr decydujący o kształcie (szerokości) funkcji radialnej. </w:t>
      </w:r>
    </w:p>
    <w:p w:rsidR="003F5005" w:rsidRDefault="003F5005">
      <w:pPr>
        <w:ind w:firstLine="708"/>
        <w:jc w:val="both"/>
      </w:pPr>
      <w:r>
        <w:t>Neurony warstwy wyjściowej realizują superpozycję sygnałów wychodzących z neuronów ukrytych. Wyjście sieci jest liniową kombinacją sygnałów warstwy ukrytej. Funkcję jaką realizuje sieć można zapisać wzorem:</w:t>
      </w:r>
    </w:p>
    <w:p w:rsidR="003F5005" w:rsidRDefault="003F5005">
      <w:pPr>
        <w:jc w:val="both"/>
      </w:pPr>
    </w:p>
    <w:p w:rsidR="003F5005" w:rsidRDefault="003F5005">
      <w:pPr>
        <w:jc w:val="both"/>
      </w:pPr>
      <w:r>
        <w:tab/>
      </w:r>
      <w:r>
        <w:tab/>
      </w:r>
      <w:r>
        <w:tab/>
      </w:r>
      <w:r>
        <w:tab/>
      </w:r>
      <w:r>
        <w:rPr>
          <w:position w:val="-28"/>
        </w:rPr>
        <w:object w:dxaOrig="2480" w:dyaOrig="680">
          <v:shape id="_x0000_i1027" type="#_x0000_t75" style="width:124.2pt;height:34.2pt" o:ole="">
            <v:imagedata r:id="rId11" o:title=""/>
          </v:shape>
          <o:OLEObject Type="Embed" ProgID="Equation.3" ShapeID="_x0000_i1027" DrawAspect="Content" ObjectID="_1833364319" r:id="rId12"/>
        </w:object>
      </w:r>
      <w:r>
        <w:t>,</w:t>
      </w:r>
      <w:r>
        <w:tab/>
      </w:r>
      <w:r>
        <w:tab/>
      </w:r>
      <w:r>
        <w:tab/>
      </w:r>
      <w:r>
        <w:tab/>
      </w:r>
      <w:r>
        <w:tab/>
        <w:t>(2)</w:t>
      </w:r>
      <w:r>
        <w:tab/>
      </w:r>
      <w:r>
        <w:tab/>
      </w:r>
      <w:r>
        <w:tab/>
      </w:r>
      <w:r>
        <w:tab/>
      </w:r>
    </w:p>
    <w:p w:rsidR="003F5005" w:rsidRDefault="003F5005">
      <w:pPr>
        <w:jc w:val="both"/>
      </w:pPr>
      <w:r>
        <w:t xml:space="preserve">w którym: i – numer neuronu ukrytego, K – liczba neuronów ukrytych, </w:t>
      </w:r>
      <w:proofErr w:type="spellStart"/>
      <w:r>
        <w:rPr>
          <w:b/>
        </w:rPr>
        <w:t>w</w:t>
      </w:r>
      <w:r>
        <w:rPr>
          <w:vertAlign w:val="subscript"/>
        </w:rPr>
        <w:t>i</w:t>
      </w:r>
      <w:proofErr w:type="spellEnd"/>
      <w:r>
        <w:t xml:space="preserve"> – wektor wagowy łączący i-ty neuron warstwy ukrytej z warstwą wyjściową, </w:t>
      </w:r>
      <w:r>
        <w:rPr>
          <w:b/>
        </w:rPr>
        <w:t>w</w:t>
      </w:r>
      <w:r>
        <w:rPr>
          <w:vertAlign w:val="subscript"/>
        </w:rPr>
        <w:t>0</w:t>
      </w:r>
      <w:r>
        <w:t xml:space="preserve"> reprezentuje stały składnik przesunięcia funkcji.</w:t>
      </w:r>
    </w:p>
    <w:p w:rsidR="003F5005" w:rsidRDefault="003F5005">
      <w:pPr>
        <w:jc w:val="both"/>
      </w:pPr>
      <w:r>
        <w:tab/>
        <w:t xml:space="preserve">Sieć RBF realizuje odwzorowanie zbioru wektorów wejściowych </w:t>
      </w:r>
      <w:r>
        <w:rPr>
          <w:b/>
        </w:rPr>
        <w:t>x</w:t>
      </w:r>
      <w:r>
        <w:t xml:space="preserve"> w zbiór wektorów </w:t>
      </w:r>
      <w:proofErr w:type="spellStart"/>
      <w:r>
        <w:rPr>
          <w:b/>
        </w:rPr>
        <w:t>y</w:t>
      </w:r>
      <w:r>
        <w:rPr>
          <w:vertAlign w:val="superscript"/>
        </w:rPr>
        <w:t>d</w:t>
      </w:r>
      <w:proofErr w:type="spellEnd"/>
      <w:r>
        <w:t xml:space="preserve"> poprzez określenie funkcji aproksymującej F(</w:t>
      </w:r>
      <w:r>
        <w:rPr>
          <w:b/>
        </w:rPr>
        <w:t>x</w:t>
      </w:r>
      <w:r>
        <w:t xml:space="preserve">), czyli rozciągnięcie nad zbiorem wektorów </w:t>
      </w:r>
      <w:r>
        <w:rPr>
          <w:b/>
        </w:rPr>
        <w:t>x</w:t>
      </w:r>
      <w:r>
        <w:t xml:space="preserve"> hiperpłaszczyzny wielowymiarowej dopasowującej się do wartości żądanych.</w:t>
      </w:r>
    </w:p>
    <w:p w:rsidR="003F5005" w:rsidRDefault="003F5005">
      <w:pPr>
        <w:pStyle w:val="Tekstpodstawowy2"/>
      </w:pPr>
      <w:r>
        <w:lastRenderedPageBreak/>
        <w:tab/>
        <w:t>Proces uczenia sieci RBF przebiega trójetapowo: w pierwszym etapie należy ustalić liczbę neuronów w warstwie ukrytej oraz dobrać centra funkcji radialnych korzystając z dowolnego algorytmu klasteryzacji, w drugim etapie wyznacza się szerokości pól recepcyjnych każdego neuronu ukrytego i w etapie trzecim wyznacza się wagi powiązań między warstwą ukrytą i wyjściową. Przy uczeniu sieci korzysta się z informacji zawartych w zbiorze treningowym.</w:t>
      </w:r>
    </w:p>
    <w:p w:rsidR="003F5005" w:rsidRDefault="003F5005">
      <w:pPr>
        <w:ind w:firstLine="708"/>
        <w:jc w:val="both"/>
      </w:pPr>
      <w:r>
        <w:t>Dobór wag powiązań warstwy ukrytej z warstwą wyjściową sprowadza się do rozwiązania równania o postaci:</w:t>
      </w:r>
    </w:p>
    <w:p w:rsidR="003F5005" w:rsidRDefault="003F5005">
      <w:pPr>
        <w:ind w:firstLine="708"/>
        <w:jc w:val="both"/>
      </w:pPr>
    </w:p>
    <w:p w:rsidR="003F5005" w:rsidRDefault="003F5005">
      <w:pPr>
        <w:ind w:left="708" w:firstLine="708"/>
        <w:jc w:val="both"/>
      </w:pPr>
      <w:r>
        <w:tab/>
      </w:r>
      <w:r>
        <w:tab/>
      </w:r>
      <w:r>
        <w:tab/>
      </w:r>
      <w:r>
        <w:tab/>
      </w:r>
      <w:r>
        <w:rPr>
          <w:position w:val="-10"/>
        </w:rPr>
        <w:object w:dxaOrig="999" w:dyaOrig="360">
          <v:shape id="_x0000_i1028" type="#_x0000_t75" style="width:49.8pt;height:18pt" o:ole="">
            <v:imagedata r:id="rId13" o:title=""/>
          </v:shape>
          <o:OLEObject Type="Embed" ProgID="Equation.3" ShapeID="_x0000_i1028" DrawAspect="Content" ObjectID="_1833364320" r:id="rId14"/>
        </w:object>
      </w:r>
      <w:r>
        <w:t xml:space="preserve">. </w:t>
      </w:r>
      <w:r>
        <w:tab/>
      </w:r>
      <w:r>
        <w:tab/>
      </w:r>
      <w:r>
        <w:tab/>
      </w:r>
      <w:r>
        <w:tab/>
      </w:r>
      <w:r>
        <w:tab/>
        <w:t>(3)</w:t>
      </w:r>
    </w:p>
    <w:p w:rsidR="003F5005" w:rsidRDefault="003F5005">
      <w:pPr>
        <w:jc w:val="both"/>
      </w:pPr>
      <w:r>
        <w:t xml:space="preserve"> </w:t>
      </w:r>
    </w:p>
    <w:p w:rsidR="003F5005" w:rsidRDefault="003F5005">
      <w:pPr>
        <w:ind w:firstLine="708"/>
        <w:jc w:val="both"/>
      </w:pPr>
      <w:r>
        <w:t>Rozwiązanie, minimalizujące kwadrat normy ||</w:t>
      </w:r>
      <w:proofErr w:type="spellStart"/>
      <w:r>
        <w:rPr>
          <w:b/>
        </w:rPr>
        <w:t>y</w:t>
      </w:r>
      <w:r>
        <w:rPr>
          <w:vertAlign w:val="superscript"/>
        </w:rPr>
        <w:t>d</w:t>
      </w:r>
      <w:proofErr w:type="spellEnd"/>
      <w:r>
        <w:rPr>
          <w:b/>
        </w:rPr>
        <w:t xml:space="preserve"> </w:t>
      </w:r>
      <w:r>
        <w:t xml:space="preserve">– </w:t>
      </w:r>
      <w:proofErr w:type="spellStart"/>
      <w:r>
        <w:rPr>
          <w:b/>
        </w:rPr>
        <w:t>wG</w:t>
      </w:r>
      <w:proofErr w:type="spellEnd"/>
      <w:r>
        <w:t>’|| (</w:t>
      </w:r>
      <w:proofErr w:type="spellStart"/>
      <w:r>
        <w:rPr>
          <w:b/>
        </w:rPr>
        <w:t>y</w:t>
      </w:r>
      <w:r>
        <w:rPr>
          <w:vertAlign w:val="superscript"/>
        </w:rPr>
        <w:t>d</w:t>
      </w:r>
      <w:proofErr w:type="spellEnd"/>
      <w:r>
        <w:rPr>
          <w:b/>
          <w:i/>
        </w:rPr>
        <w:t xml:space="preserve"> </w:t>
      </w:r>
      <w:r>
        <w:t xml:space="preserve">– macierz pożądanych odpowiedzi dla wszystkich wektorów uczących, </w:t>
      </w:r>
      <w:r>
        <w:rPr>
          <w:b/>
        </w:rPr>
        <w:t>G</w:t>
      </w:r>
      <w:r>
        <w:t xml:space="preserve">’ – macierz odpowiedzi warstwy ukrytej na wszystkie wektory uczące, rozszerzona o wiersz jedynek – składnik stały przesunięcia funkcji, </w:t>
      </w:r>
      <w:r>
        <w:rPr>
          <w:b/>
        </w:rPr>
        <w:t>w</w:t>
      </w:r>
      <w:r>
        <w:t xml:space="preserve"> – poszukiwana macierz wag), można znaleźć stosując operację </w:t>
      </w:r>
      <w:proofErr w:type="spellStart"/>
      <w:r>
        <w:t>pseudoinwersji</w:t>
      </w:r>
      <w:proofErr w:type="spellEnd"/>
      <w:r>
        <w:t xml:space="preserve"> macierzy prostokątnej </w:t>
      </w:r>
      <w:r>
        <w:rPr>
          <w:b/>
        </w:rPr>
        <w:t>G</w:t>
      </w:r>
      <w:r>
        <w:t>’:</w:t>
      </w:r>
    </w:p>
    <w:p w:rsidR="003F5005" w:rsidRDefault="003F5005">
      <w:pPr>
        <w:jc w:val="both"/>
      </w:pPr>
      <w:r>
        <w:tab/>
      </w:r>
      <w:r>
        <w:tab/>
      </w:r>
      <w:r>
        <w:tab/>
      </w:r>
      <w:r>
        <w:tab/>
      </w:r>
      <w:r>
        <w:tab/>
      </w:r>
    </w:p>
    <w:p w:rsidR="003F5005" w:rsidRDefault="003F500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rPr>
          <w:position w:val="-10"/>
        </w:rPr>
        <w:object w:dxaOrig="2160" w:dyaOrig="360">
          <v:shape id="_x0000_i1029" type="#_x0000_t75" style="width:108pt;height:18pt" o:ole="">
            <v:imagedata r:id="rId15" o:title=""/>
          </v:shape>
          <o:OLEObject Type="Embed" ProgID="Equation.3" ShapeID="_x0000_i1029" DrawAspect="Content" ObjectID="_1833364321" r:id="rId16"/>
        </w:object>
      </w:r>
      <w:r>
        <w:t>.</w:t>
      </w:r>
      <w:r>
        <w:tab/>
      </w:r>
      <w:r>
        <w:tab/>
      </w:r>
      <w:r>
        <w:tab/>
      </w:r>
      <w:r>
        <w:tab/>
        <w:t>(4)</w:t>
      </w:r>
    </w:p>
    <w:p w:rsidR="003F5005" w:rsidRDefault="003F5005">
      <w:pPr>
        <w:pStyle w:val="Tekstpodstawowywcity"/>
      </w:pPr>
    </w:p>
    <w:p w:rsidR="003F5005" w:rsidRDefault="003F5005">
      <w:pPr>
        <w:pStyle w:val="Tekstpodstawowywcity"/>
      </w:pPr>
      <w:r>
        <w:t xml:space="preserve">Do określenia centrów funkcji radialnych użyto algorytmu </w:t>
      </w:r>
      <w:r>
        <w:rPr>
          <w:iCs/>
        </w:rPr>
        <w:t>aglomeracyjnego [</w:t>
      </w:r>
      <w:r>
        <w:t xml:space="preserve">Duda73]. Na starcie algorytmu przyjmuje się, że każdy wektor ze zbioru danych stanowi centrum grupy. W kolejnych krokach algorytmu znajduje się dwa najbliższe sobie centra łącząc je w jedno. Po każdym kroku liczba centrów zmniejsza się o jeden. Algorytm kończy działanie, jeśli liczba centrów osiągnie założoną wartość K. </w:t>
      </w: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</w:p>
    <w:p w:rsidR="003F5005" w:rsidRDefault="004B5650">
      <w:pPr>
        <w:tabs>
          <w:tab w:val="left" w:pos="6000"/>
        </w:tabs>
        <w:jc w:val="both"/>
        <w:rPr>
          <w:b/>
          <w:bCs/>
          <w:sz w:val="28"/>
        </w:rPr>
      </w:pPr>
      <w:r>
        <w:rPr>
          <w:b/>
          <w:bCs/>
          <w:sz w:val="28"/>
        </w:rPr>
        <w:t>C</w:t>
      </w:r>
      <w:r w:rsidR="003F5005">
        <w:rPr>
          <w:b/>
          <w:bCs/>
          <w:sz w:val="28"/>
        </w:rPr>
        <w:t xml:space="preserve">. </w:t>
      </w:r>
      <w:r w:rsidR="00FA699E">
        <w:rPr>
          <w:b/>
          <w:bCs/>
          <w:sz w:val="28"/>
        </w:rPr>
        <w:t>Raport</w:t>
      </w:r>
    </w:p>
    <w:p w:rsidR="003F5005" w:rsidRDefault="003F5005">
      <w:pPr>
        <w:tabs>
          <w:tab w:val="left" w:pos="6000"/>
        </w:tabs>
        <w:jc w:val="both"/>
      </w:pPr>
    </w:p>
    <w:p w:rsidR="00B16580" w:rsidRPr="006E3380" w:rsidRDefault="00B16580">
      <w:pPr>
        <w:pStyle w:val="Tekstpodstawowy3"/>
        <w:jc w:val="both"/>
        <w:rPr>
          <w:b w:val="0"/>
          <w:bCs w:val="0"/>
          <w:i/>
        </w:rPr>
      </w:pPr>
      <w:bookmarkStart w:id="0" w:name="_GoBack"/>
      <w:bookmarkEnd w:id="0"/>
      <w:r w:rsidRPr="00B16580">
        <w:rPr>
          <w:b w:val="0"/>
          <w:bCs w:val="0"/>
          <w:i/>
        </w:rPr>
        <w:t>W tej części zamieszczamy raport z przeprowadzonych badań i analiz. Proszę zachować numerację zadań zgodnie z instrukcją. Każde zadanie należy opatrzyć numerem i tytułem podanym w instrukcji (np. „Zadanie 1. Import modułów”). W ramach każdego zadania należy przedstawić kod źródłowy, wyniki obliczeń/analiz (tabele, wykresy) oraz komentarz</w:t>
      </w:r>
      <w:r>
        <w:rPr>
          <w:b w:val="0"/>
          <w:bCs w:val="0"/>
          <w:i/>
        </w:rPr>
        <w:t xml:space="preserve"> (interpretację wyników)</w:t>
      </w:r>
      <w:r w:rsidRPr="00B16580">
        <w:rPr>
          <w:b w:val="0"/>
          <w:bCs w:val="0"/>
          <w:i/>
        </w:rPr>
        <w:t>.</w:t>
      </w:r>
    </w:p>
    <w:p w:rsidR="00FA699E" w:rsidRDefault="00FA699E">
      <w:pPr>
        <w:pStyle w:val="Tekstpodstawowy3"/>
        <w:jc w:val="both"/>
        <w:rPr>
          <w:b w:val="0"/>
          <w:bCs w:val="0"/>
        </w:rPr>
      </w:pPr>
      <w:r>
        <w:rPr>
          <w:b w:val="0"/>
          <w:bCs w:val="0"/>
        </w:rPr>
        <w:t xml:space="preserve"> </w:t>
      </w: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</w:p>
    <w:p w:rsidR="003F5005" w:rsidRDefault="004B5650">
      <w:pPr>
        <w:tabs>
          <w:tab w:val="left" w:pos="6000"/>
        </w:tabs>
        <w:jc w:val="both"/>
        <w:rPr>
          <w:b/>
          <w:bCs/>
          <w:sz w:val="28"/>
        </w:rPr>
      </w:pPr>
      <w:r>
        <w:rPr>
          <w:b/>
          <w:bCs/>
          <w:sz w:val="28"/>
        </w:rPr>
        <w:t>D</w:t>
      </w:r>
      <w:r w:rsidR="003F5005">
        <w:rPr>
          <w:b/>
          <w:bCs/>
          <w:sz w:val="28"/>
        </w:rPr>
        <w:t>. Wnioski</w:t>
      </w: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</w:p>
    <w:p w:rsidR="003F5005" w:rsidRDefault="003F5005">
      <w:pPr>
        <w:numPr>
          <w:ilvl w:val="0"/>
          <w:numId w:val="20"/>
        </w:numPr>
        <w:tabs>
          <w:tab w:val="left" w:pos="6000"/>
        </w:tabs>
        <w:jc w:val="both"/>
      </w:pPr>
      <w:r>
        <w:t xml:space="preserve">Przebieg obciążenia SEE charakteryzuje się cyklicznością roczną i dobową. Tę właściwość należy uwzględnić w konstrukcji modeli prognostycznych, odpowiednio przetwarzając dane i przeprowadzając proces prognozy. Standaryzacja ujednolica przebiegi dobowe – po standaryzacji wartość średnia każdego przebiegu jest zerowa a odchylenia standardowe jednostkowe. Dane standaryzowane pozwoliły uzyskać znacznie lepsze rezultaty od danych nie przetworzonych, dla których zaobserwowano błąd </w:t>
      </w:r>
      <w:proofErr w:type="spellStart"/>
      <w:r>
        <w:t>ŚBBP</w:t>
      </w:r>
      <w:r>
        <w:rPr>
          <w:vertAlign w:val="superscript"/>
        </w:rPr>
        <w:t>r</w:t>
      </w:r>
      <w:proofErr w:type="spellEnd"/>
      <w:r>
        <w:t xml:space="preserve"> na poziomie ponad 6%. </w:t>
      </w:r>
    </w:p>
    <w:p w:rsidR="003F5005" w:rsidRDefault="003F5005">
      <w:pPr>
        <w:pStyle w:val="Tekstpodstawowy2"/>
        <w:numPr>
          <w:ilvl w:val="0"/>
          <w:numId w:val="20"/>
        </w:numPr>
        <w:tabs>
          <w:tab w:val="left" w:pos="6000"/>
        </w:tabs>
        <w:rPr>
          <w:bCs/>
          <w:szCs w:val="24"/>
        </w:rPr>
      </w:pPr>
      <w:r>
        <w:rPr>
          <w:bCs/>
          <w:szCs w:val="24"/>
        </w:rPr>
        <w:t xml:space="preserve">Sieć o radialnych funkcjach bazowych łączy cechy sieci uczonych bez nadzoru (np. sieć </w:t>
      </w:r>
      <w:proofErr w:type="spellStart"/>
      <w:r>
        <w:rPr>
          <w:bCs/>
          <w:szCs w:val="24"/>
        </w:rPr>
        <w:t>Kohonena</w:t>
      </w:r>
      <w:proofErr w:type="spellEnd"/>
      <w:r>
        <w:rPr>
          <w:bCs/>
          <w:szCs w:val="24"/>
        </w:rPr>
        <w:t xml:space="preserve">) oraz sieci uczonych z nadzorem (np. perceptron). Zastosowany algorytm uczenia sieci RBF jest </w:t>
      </w:r>
      <w:r>
        <w:t xml:space="preserve">trójetapowy: w pierwszym etapie należy ustalić liczbę neuronów w warstwie ukrytej oraz dobrać centra funkcji radialnych korzystając z algorytmu klasteryzacji, w drugim etapie wyznacza się szerokości pól recepcyjnych neuronów ukrytych i w etapie trzecim wyznacza się wagi powiązań między warstwą ukrytą i wyjściową. Algorytm ten jest znacznie szybszy niż algorytm wstecznej propagacji błędów </w:t>
      </w:r>
      <w:r>
        <w:lastRenderedPageBreak/>
        <w:t>w wielowarstwowym perceptronie. Trening sieci dla jej optymalnego wariantu trwał ok. 40 s (procesor 2 GHz, RAM 64 MB).</w:t>
      </w:r>
    </w:p>
    <w:p w:rsidR="003F5005" w:rsidRDefault="003F5005">
      <w:pPr>
        <w:numPr>
          <w:ilvl w:val="0"/>
          <w:numId w:val="20"/>
        </w:numPr>
        <w:tabs>
          <w:tab w:val="left" w:pos="6000"/>
        </w:tabs>
        <w:jc w:val="both"/>
      </w:pPr>
      <w:r>
        <w:t xml:space="preserve">Najlepszy wynik – </w:t>
      </w:r>
      <w:proofErr w:type="spellStart"/>
      <w:r>
        <w:t>ŚBBP</w:t>
      </w:r>
      <w:r>
        <w:rPr>
          <w:vertAlign w:val="superscript"/>
        </w:rPr>
        <w:t>r</w:t>
      </w:r>
      <w:proofErr w:type="spellEnd"/>
      <w:r>
        <w:t xml:space="preserve"> = 2,36% – odnotowano dla 220 neuronów w warstwie ukrytej oraz parametru szerokości </w:t>
      </w:r>
      <w:r>
        <w:sym w:font="Symbol" w:char="F073"/>
      </w:r>
      <w:r>
        <w:t xml:space="preserve"> = 1,1. Parametr </w:t>
      </w:r>
      <w:r>
        <w:sym w:font="Symbol" w:char="F073"/>
      </w:r>
      <w:r>
        <w:t xml:space="preserve"> nie ma tak istotnego znaczenia na jakość prognoz jak liczba neuronów K. </w:t>
      </w:r>
    </w:p>
    <w:p w:rsidR="003F5005" w:rsidRDefault="003F5005">
      <w:pPr>
        <w:numPr>
          <w:ilvl w:val="0"/>
          <w:numId w:val="20"/>
        </w:numPr>
        <w:tabs>
          <w:tab w:val="left" w:pos="6000"/>
        </w:tabs>
        <w:jc w:val="both"/>
      </w:pPr>
      <w:r>
        <w:t>Błędy prognozy zależne są od typu dnia tygodnia (rys. 2 i 3). Największą dokładność uzyskano dla środy i piątku, najmniejszą dla poniedziałku. Spowodowane jest to bardziej stabilnym przebiegiem obciążenia w dni robocze niż w dni świąteczne. Poniedziałek jest dniem, który ma bardziej nieregularny przebieg obciążenia w początkowych godzinach doby (przejście z dnia wolnego do roboczego) i w związku z tym jest trudny do prognozowania. Jednocześnie dla piątku – dnia o podobnym charakterze – obserwuje się znacznie mniejsze błędy.</w:t>
      </w:r>
    </w:p>
    <w:p w:rsidR="003F5005" w:rsidRDefault="003F5005">
      <w:pPr>
        <w:numPr>
          <w:ilvl w:val="0"/>
          <w:numId w:val="20"/>
        </w:numPr>
        <w:tabs>
          <w:tab w:val="left" w:pos="6000"/>
        </w:tabs>
        <w:jc w:val="both"/>
      </w:pPr>
      <w:r>
        <w:t>Błąd prognozy zależny jest także od godziny doby. Obciążenia godzin wieczornych, od 9 do 21, prognozowane były z największym błędem, a prognozy dla godzin początkowych doby, od 1 do 6, były najdokładniejsze (rys. 3).</w:t>
      </w:r>
    </w:p>
    <w:p w:rsidR="003F5005" w:rsidRDefault="003F5005">
      <w:pPr>
        <w:numPr>
          <w:ilvl w:val="0"/>
          <w:numId w:val="20"/>
        </w:numPr>
        <w:tabs>
          <w:tab w:val="left" w:pos="6000"/>
        </w:tabs>
        <w:jc w:val="both"/>
      </w:pPr>
      <w:r>
        <w:t>Prawdopodobnie dekompozycja prognozy przebiegów dobowych obciążenia i konstrukcja indywidualnych modeli prognostycznych na konkretne godziny i typ dnia pozwoliłaby zmniejszyć błędy.</w:t>
      </w:r>
    </w:p>
    <w:p w:rsidR="003F5005" w:rsidRDefault="003F5005">
      <w:pPr>
        <w:numPr>
          <w:ilvl w:val="0"/>
          <w:numId w:val="20"/>
        </w:numPr>
        <w:jc w:val="both"/>
      </w:pPr>
      <w:r>
        <w:t>Należy też zwrócić uwagę, że proces uczenia sieci i jej pracę w trybie odtworzeniowym zakłócają dni nietypowe – święta państwowe i religijne. Usunięcie tych dni z bazy danych uczących powinno poprawić działanie sieci – zmniejszyć błędy prognozy.</w:t>
      </w:r>
    </w:p>
    <w:p w:rsidR="003F5005" w:rsidRDefault="003F5005">
      <w:pPr>
        <w:tabs>
          <w:tab w:val="left" w:pos="6000"/>
        </w:tabs>
        <w:jc w:val="both"/>
        <w:rPr>
          <w:b/>
          <w:bCs/>
          <w:sz w:val="28"/>
        </w:rPr>
      </w:pPr>
    </w:p>
    <w:p w:rsidR="003F5005" w:rsidRPr="00FA699E" w:rsidRDefault="003F5005">
      <w:pPr>
        <w:pStyle w:val="Nagwek2"/>
      </w:pPr>
      <w:r w:rsidRPr="00FA699E">
        <w:t>Literatura</w:t>
      </w:r>
    </w:p>
    <w:p w:rsidR="003F5005" w:rsidRDefault="003F5005">
      <w:pPr>
        <w:tabs>
          <w:tab w:val="left" w:pos="851"/>
        </w:tabs>
        <w:jc w:val="both"/>
        <w:rPr>
          <w:sz w:val="18"/>
        </w:rPr>
      </w:pPr>
      <w:r>
        <w:rPr>
          <w:sz w:val="18"/>
        </w:rPr>
        <w:t>[Osowski96]</w:t>
      </w:r>
      <w:r>
        <w:rPr>
          <w:sz w:val="18"/>
        </w:rPr>
        <w:tab/>
        <w:t>Osowski S.: Sieci neuronowe w ujęciu algorytmicznym, Warszawa, WNT, 1996.</w:t>
      </w:r>
    </w:p>
    <w:p w:rsidR="003F5005" w:rsidRPr="006E3380" w:rsidRDefault="003F5005" w:rsidP="006E3380">
      <w:pPr>
        <w:tabs>
          <w:tab w:val="left" w:pos="851"/>
        </w:tabs>
        <w:jc w:val="both"/>
        <w:rPr>
          <w:sz w:val="18"/>
          <w:lang w:val="en-US"/>
        </w:rPr>
      </w:pPr>
      <w:r>
        <w:rPr>
          <w:sz w:val="18"/>
          <w:lang w:val="en-US"/>
        </w:rPr>
        <w:t>[Duda73]</w:t>
      </w:r>
      <w:r>
        <w:rPr>
          <w:sz w:val="18"/>
          <w:lang w:val="en-US"/>
        </w:rPr>
        <w:tab/>
      </w:r>
      <w:r>
        <w:rPr>
          <w:sz w:val="18"/>
          <w:lang w:val="en-US"/>
        </w:rPr>
        <w:tab/>
        <w:t xml:space="preserve">Duda R. O., Hart P. E.: Pattern Classification and Scene Analysis. </w:t>
      </w:r>
      <w:smartTag w:uri="urn:schemas-microsoft-com:office:smarttags" w:element="place">
        <w:smartTag w:uri="urn:schemas-microsoft-com:office:smarttags" w:element="State">
          <w:r>
            <w:rPr>
              <w:sz w:val="18"/>
              <w:lang w:val="en-US"/>
            </w:rPr>
            <w:t>New York</w:t>
          </w:r>
        </w:smartTag>
      </w:smartTag>
      <w:r>
        <w:rPr>
          <w:sz w:val="18"/>
          <w:lang w:val="en-US"/>
        </w:rPr>
        <w:t xml:space="preserve">, John </w:t>
      </w:r>
      <w:proofErr w:type="spellStart"/>
      <w:r>
        <w:rPr>
          <w:sz w:val="18"/>
          <w:lang w:val="en-US"/>
        </w:rPr>
        <w:t>Wiley&amp;Sons</w:t>
      </w:r>
      <w:proofErr w:type="spellEnd"/>
      <w:r>
        <w:rPr>
          <w:sz w:val="18"/>
          <w:lang w:val="en-US"/>
        </w:rPr>
        <w:t>, 1973.</w:t>
      </w:r>
    </w:p>
    <w:sectPr w:rsidR="003F5005" w:rsidRPr="006E3380">
      <w:footerReference w:type="even" r:id="rId17"/>
      <w:footerReference w:type="default" r:id="rId18"/>
      <w:pgSz w:w="11906" w:h="16838"/>
      <w:pgMar w:top="1417" w:right="1417" w:bottom="1417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958" w:rsidRDefault="00052958">
      <w:r>
        <w:separator/>
      </w:r>
    </w:p>
  </w:endnote>
  <w:endnote w:type="continuationSeparator" w:id="0">
    <w:p w:rsidR="00052958" w:rsidRDefault="00052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05" w:rsidRDefault="003F5005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3F5005" w:rsidRDefault="003F5005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005" w:rsidRDefault="003F5005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4B5650">
      <w:rPr>
        <w:rStyle w:val="Numerstrony"/>
        <w:noProof/>
      </w:rPr>
      <w:t>4</w:t>
    </w:r>
    <w:r>
      <w:rPr>
        <w:rStyle w:val="Numerstrony"/>
      </w:rPr>
      <w:fldChar w:fldCharType="end"/>
    </w:r>
  </w:p>
  <w:p w:rsidR="003F5005" w:rsidRDefault="003F5005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958" w:rsidRDefault="00052958">
      <w:r>
        <w:separator/>
      </w:r>
    </w:p>
  </w:footnote>
  <w:footnote w:type="continuationSeparator" w:id="0">
    <w:p w:rsidR="00052958" w:rsidRDefault="00052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C44D2"/>
    <w:multiLevelType w:val="hybridMultilevel"/>
    <w:tmpl w:val="7B7221EA"/>
    <w:lvl w:ilvl="0" w:tplc="3C7CED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36477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B50D94"/>
    <w:multiLevelType w:val="hybridMultilevel"/>
    <w:tmpl w:val="5456F90C"/>
    <w:lvl w:ilvl="0" w:tplc="3F36618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4D63DD"/>
    <w:multiLevelType w:val="hybridMultilevel"/>
    <w:tmpl w:val="63C29C06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433407"/>
    <w:multiLevelType w:val="multilevel"/>
    <w:tmpl w:val="C3D44A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57" w:firstLine="3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D506526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0332901"/>
    <w:multiLevelType w:val="hybridMultilevel"/>
    <w:tmpl w:val="726ACA3C"/>
    <w:lvl w:ilvl="0" w:tplc="F712028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F10A7E"/>
    <w:multiLevelType w:val="hybridMultilevel"/>
    <w:tmpl w:val="3C82A18C"/>
    <w:lvl w:ilvl="0" w:tplc="849E2C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7371A4"/>
    <w:multiLevelType w:val="hybridMultilevel"/>
    <w:tmpl w:val="BC406698"/>
    <w:lvl w:ilvl="0" w:tplc="3F36618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662205"/>
    <w:multiLevelType w:val="multilevel"/>
    <w:tmpl w:val="5F1A04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373829BA"/>
    <w:multiLevelType w:val="hybridMultilevel"/>
    <w:tmpl w:val="F1C00794"/>
    <w:lvl w:ilvl="0" w:tplc="49F6CC3E">
      <w:start w:val="1"/>
      <w:numFmt w:val="lowerLetter"/>
      <w:lvlText w:val="%1)"/>
      <w:lvlJc w:val="left"/>
      <w:pPr>
        <w:tabs>
          <w:tab w:val="num" w:pos="1068"/>
        </w:tabs>
        <w:ind w:left="1068" w:hanging="708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B011A3"/>
    <w:multiLevelType w:val="hybridMultilevel"/>
    <w:tmpl w:val="40A0AF4E"/>
    <w:lvl w:ilvl="0" w:tplc="E38AC80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1B5E4E"/>
    <w:multiLevelType w:val="multilevel"/>
    <w:tmpl w:val="58AC51EE"/>
    <w:lvl w:ilvl="0">
      <w:start w:val="1"/>
      <w:numFmt w:val="decimal"/>
      <w:pStyle w:val="Internetpunkty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7"/>
        </w:tabs>
        <w:ind w:left="714" w:hanging="357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3.%2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4.%2.%3.%5.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5.%2.%3.%4.%1.%6.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67654F2F"/>
    <w:multiLevelType w:val="hybridMultilevel"/>
    <w:tmpl w:val="EA32130C"/>
    <w:lvl w:ilvl="0" w:tplc="1A6015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8AB3D48"/>
    <w:multiLevelType w:val="hybridMultilevel"/>
    <w:tmpl w:val="9FE6CFD2"/>
    <w:lvl w:ilvl="0" w:tplc="527E2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C5B2BD3"/>
    <w:multiLevelType w:val="hybridMultilevel"/>
    <w:tmpl w:val="79C62EB8"/>
    <w:lvl w:ilvl="0" w:tplc="556EF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C03F53"/>
    <w:multiLevelType w:val="multilevel"/>
    <w:tmpl w:val="87A42F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5120A72"/>
    <w:multiLevelType w:val="multilevel"/>
    <w:tmpl w:val="47108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7B5F40D6"/>
    <w:multiLevelType w:val="hybridMultilevel"/>
    <w:tmpl w:val="58620382"/>
    <w:lvl w:ilvl="0" w:tplc="971C8E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55A92"/>
    <w:multiLevelType w:val="hybridMultilevel"/>
    <w:tmpl w:val="BE8487F6"/>
    <w:lvl w:ilvl="0" w:tplc="F712028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9C7549"/>
    <w:multiLevelType w:val="hybridMultilevel"/>
    <w:tmpl w:val="E966929E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19"/>
  </w:num>
  <w:num w:numId="5">
    <w:abstractNumId w:val="5"/>
  </w:num>
  <w:num w:numId="6">
    <w:abstractNumId w:val="18"/>
  </w:num>
  <w:num w:numId="7">
    <w:abstractNumId w:val="9"/>
  </w:num>
  <w:num w:numId="8">
    <w:abstractNumId w:val="12"/>
  </w:num>
  <w:num w:numId="9">
    <w:abstractNumId w:val="17"/>
  </w:num>
  <w:num w:numId="10">
    <w:abstractNumId w:val="0"/>
  </w:num>
  <w:num w:numId="11">
    <w:abstractNumId w:val="15"/>
  </w:num>
  <w:num w:numId="12">
    <w:abstractNumId w:val="16"/>
  </w:num>
  <w:num w:numId="13">
    <w:abstractNumId w:val="8"/>
  </w:num>
  <w:num w:numId="14">
    <w:abstractNumId w:val="4"/>
  </w:num>
  <w:num w:numId="15">
    <w:abstractNumId w:val="10"/>
  </w:num>
  <w:num w:numId="16">
    <w:abstractNumId w:val="13"/>
  </w:num>
  <w:num w:numId="17">
    <w:abstractNumId w:val="14"/>
  </w:num>
  <w:num w:numId="18">
    <w:abstractNumId w:val="6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2FA"/>
    <w:rsid w:val="000432FA"/>
    <w:rsid w:val="00052958"/>
    <w:rsid w:val="0011697F"/>
    <w:rsid w:val="00197485"/>
    <w:rsid w:val="002B704C"/>
    <w:rsid w:val="003F5005"/>
    <w:rsid w:val="004B5650"/>
    <w:rsid w:val="005A739A"/>
    <w:rsid w:val="006E3380"/>
    <w:rsid w:val="008D5B1A"/>
    <w:rsid w:val="0091522A"/>
    <w:rsid w:val="00A012BB"/>
    <w:rsid w:val="00B16580"/>
    <w:rsid w:val="00D17505"/>
    <w:rsid w:val="00FA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,"/>
  <w:listSeparator w:val=";"/>
  <w14:docId w14:val="0EAB6086"/>
  <w15:chartTrackingRefBased/>
  <w15:docId w15:val="{D371907A-7C57-4F8B-BC30-DDE9520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qFormat/>
    <w:pPr>
      <w:keepNext/>
      <w:jc w:val="center"/>
      <w:outlineLvl w:val="0"/>
    </w:pPr>
    <w:rPr>
      <w:sz w:val="32"/>
    </w:rPr>
  </w:style>
  <w:style w:type="paragraph" w:styleId="Nagwek2">
    <w:name w:val="heading 2"/>
    <w:basedOn w:val="Normalny"/>
    <w:next w:val="Normalny"/>
    <w:qFormat/>
    <w:pPr>
      <w:keepNext/>
      <w:tabs>
        <w:tab w:val="left" w:pos="6000"/>
      </w:tabs>
      <w:spacing w:line="360" w:lineRule="auto"/>
      <w:outlineLvl w:val="1"/>
    </w:pPr>
    <w:rPr>
      <w:b/>
      <w:bCs/>
      <w:sz w:val="28"/>
    </w:rPr>
  </w:style>
  <w:style w:type="paragraph" w:styleId="Nagwek3">
    <w:name w:val="heading 3"/>
    <w:basedOn w:val="Normalny"/>
    <w:next w:val="Normalny"/>
    <w:qFormat/>
    <w:pPr>
      <w:keepNext/>
      <w:tabs>
        <w:tab w:val="left" w:pos="4989"/>
      </w:tabs>
      <w:spacing w:before="120" w:after="120"/>
      <w:jc w:val="both"/>
      <w:outlineLvl w:val="2"/>
    </w:pPr>
    <w:rPr>
      <w:b/>
      <w:bCs/>
      <w:i/>
      <w:iCs/>
    </w:rPr>
  </w:style>
  <w:style w:type="paragraph" w:styleId="Nagwek4">
    <w:name w:val="heading 4"/>
    <w:basedOn w:val="Normalny"/>
    <w:next w:val="Normalny"/>
    <w:qFormat/>
    <w:pPr>
      <w:keepNext/>
      <w:tabs>
        <w:tab w:val="left" w:pos="6000"/>
      </w:tabs>
      <w:jc w:val="both"/>
      <w:outlineLvl w:val="3"/>
    </w:pPr>
    <w:rPr>
      <w:b/>
      <w:bCs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Internetpunkty">
    <w:name w:val="Internet punkty"/>
    <w:basedOn w:val="Normalny"/>
    <w:pPr>
      <w:numPr>
        <w:numId w:val="1"/>
      </w:numPr>
    </w:pPr>
    <w:rPr>
      <w:rFonts w:ascii="Tahoma" w:hAnsi="Tahoma"/>
      <w:sz w:val="16"/>
    </w:rPr>
  </w:style>
  <w:style w:type="paragraph" w:customStyle="1" w:styleId="Internettytu1">
    <w:name w:val="Internet tytuł1"/>
    <w:basedOn w:val="Normalny"/>
    <w:pPr>
      <w:tabs>
        <w:tab w:val="left" w:pos="357"/>
      </w:tabs>
      <w:jc w:val="center"/>
    </w:pPr>
    <w:rPr>
      <w:rFonts w:ascii="Tahoma" w:hAnsi="Tahoma"/>
      <w:b/>
      <w:bCs/>
      <w:color w:val="333399"/>
      <w:sz w:val="36"/>
    </w:rPr>
  </w:style>
  <w:style w:type="paragraph" w:customStyle="1" w:styleId="Internettytu2">
    <w:name w:val="Internet tytuł2"/>
    <w:basedOn w:val="Normalny"/>
    <w:pPr>
      <w:tabs>
        <w:tab w:val="left" w:pos="357"/>
      </w:tabs>
    </w:pPr>
    <w:rPr>
      <w:rFonts w:ascii="Tahoma" w:hAnsi="Tahoma"/>
      <w:color w:val="333399"/>
      <w:sz w:val="28"/>
      <w:u w:val="single"/>
    </w:rPr>
  </w:style>
  <w:style w:type="paragraph" w:customStyle="1" w:styleId="Internet1">
    <w:name w:val="Internet1"/>
    <w:basedOn w:val="Normalny"/>
    <w:pPr>
      <w:tabs>
        <w:tab w:val="left" w:pos="357"/>
      </w:tabs>
      <w:jc w:val="both"/>
    </w:pPr>
    <w:rPr>
      <w:rFonts w:ascii="Tahoma" w:hAnsi="Tahoma"/>
      <w:sz w:val="16"/>
    </w:rPr>
  </w:style>
  <w:style w:type="paragraph" w:styleId="Tytu">
    <w:name w:val="Title"/>
    <w:basedOn w:val="Normalny"/>
    <w:qFormat/>
    <w:pPr>
      <w:jc w:val="center"/>
    </w:pPr>
    <w:rPr>
      <w:sz w:val="48"/>
    </w:rPr>
  </w:style>
  <w:style w:type="paragraph" w:styleId="Tekstpodstawowy">
    <w:name w:val="Body Text"/>
    <w:basedOn w:val="Normalny"/>
    <w:rPr>
      <w:b/>
      <w:bCs/>
      <w:i/>
      <w:iCs/>
      <w:sz w:val="36"/>
    </w:rPr>
  </w:style>
  <w:style w:type="paragraph" w:styleId="Tekstpodstawowy2">
    <w:name w:val="Body Text 2"/>
    <w:basedOn w:val="Normalny"/>
    <w:pPr>
      <w:jc w:val="both"/>
    </w:pPr>
    <w:rPr>
      <w:szCs w:val="20"/>
    </w:rPr>
  </w:style>
  <w:style w:type="paragraph" w:styleId="Tekstpodstawowywcity">
    <w:name w:val="Body Text Indent"/>
    <w:basedOn w:val="Normalny"/>
    <w:pPr>
      <w:ind w:firstLine="708"/>
      <w:jc w:val="both"/>
    </w:pPr>
    <w:rPr>
      <w:szCs w:val="20"/>
    </w:rPr>
  </w:style>
  <w:style w:type="paragraph" w:styleId="Tekstpodstawowy3">
    <w:name w:val="Body Text 3"/>
    <w:basedOn w:val="Normalny"/>
    <w:rPr>
      <w:b/>
      <w:bCs/>
    </w:r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956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Politechnika Częstochowska</vt:lpstr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Politechnika Częstochowska</dc:title>
  <dc:subject/>
  <dc:creator>gd</dc:creator>
  <cp:keywords/>
  <cp:lastModifiedBy>Grzegorz Dudek</cp:lastModifiedBy>
  <cp:revision>5</cp:revision>
  <dcterms:created xsi:type="dcterms:W3CDTF">2024-02-20T10:45:00Z</dcterms:created>
  <dcterms:modified xsi:type="dcterms:W3CDTF">2026-02-23T14:05:00Z</dcterms:modified>
</cp:coreProperties>
</file>