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gif" ContentType="image/gif"/>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rFonts w:cs="Calibri" w:cstheme="minorHAnsi"/>
          <w:sz w:val="36"/>
          <w:szCs w:val="36"/>
        </w:rPr>
      </w:pPr>
      <w:r>
        <w:rPr>
          <w:rFonts w:cs="Calibri" w:cstheme="minorHAnsi"/>
          <w:sz w:val="36"/>
          <w:szCs w:val="36"/>
        </w:rPr>
        <w:t>Standard Operating Procedure</w:t>
      </w:r>
    </w:p>
    <w:p>
      <w:pPr>
        <w:pStyle w:val="Normal"/>
        <w:spacing w:before="120" w:after="120"/>
        <w:jc w:val="center"/>
        <w:rPr>
          <w:rFonts w:cs="Calibri" w:cstheme="minorHAnsi"/>
          <w:sz w:val="36"/>
          <w:szCs w:val="36"/>
          <w:u w:val="single"/>
        </w:rPr>
      </w:pPr>
      <w:r>
        <w:rPr>
          <w:rFonts w:cs="Calibri" w:cstheme="minorHAnsi"/>
          <w:sz w:val="36"/>
          <w:szCs w:val="36"/>
          <w:u w:val="single"/>
        </w:rPr>
        <w:t>Flammable Liquids</w:t>
      </w:r>
    </w:p>
    <w:p>
      <w:pPr>
        <w:pStyle w:val="Normal"/>
        <w:spacing w:before="120" w:after="120"/>
        <w:rPr>
          <w:rFonts w:cs="Calibri" w:cstheme="minorHAnsi"/>
          <w:sz w:val="24"/>
          <w:szCs w:val="24"/>
        </w:rPr>
      </w:pPr>
      <w:r>
        <w:rPr>
          <w:rFonts w:cs="Calibri"/>
          <w:b/>
          <w:sz w:val="24"/>
          <w:szCs w:val="24"/>
        </w:rPr>
        <w:t>Section 1 – Lab-Specific Information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16"/>
        <w:gridCol w:w="4833"/>
      </w:tblGrid>
      <w:tr>
        <w:trPr>
          <w:tblHeader w:val="true"/>
          <w:trHeight w:val="432" w:hRule="atLeast"/>
        </w:trPr>
        <w:tc>
          <w:tcPr>
            <w:tcW w:w="4516" w:type="dxa"/>
            <w:tcBorders>
              <w:bottom w:val="nil"/>
              <w:right w:val="nil"/>
            </w:tcBorders>
            <w:shd w:color="auto" w:fill="F2F2F2" w:themeFill="background1" w:themeFillShade="f2" w:val="clear"/>
            <w:vAlign w:val="center"/>
          </w:tcPr>
          <w:p>
            <w:pPr>
              <w:pStyle w:val="Normal"/>
              <w:widowControl/>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Chemical(s) covered by this SOP:</w:t>
            </w:r>
          </w:p>
        </w:tc>
        <w:tc>
          <w:tcPr>
            <w:tcW w:w="4833" w:type="dxa"/>
            <w:tcBorders>
              <w:left w:val="nil"/>
              <w:bottom w:val="nil"/>
            </w:tcBorders>
            <w:vAlign w:val="bottom"/>
          </w:tcPr>
          <w:p>
            <w:pPr>
              <w:pStyle w:val="Normal"/>
              <w:widowControl/>
              <w:spacing w:lineRule="auto" w:line="240" w:before="120" w:after="120"/>
              <w:jc w:val="left"/>
              <w:rPr>
                <w:rFonts w:cs="Calibri" w:cstheme="minorHAnsi"/>
                <w:sz w:val="20"/>
                <w:szCs w:val="20"/>
              </w:rPr>
            </w:pPr>
            <w:sdt>
              <w:sdtPr>
                <w:id w:val="214044490"/>
                <w:placeholder>
                  <w:docPart w:val="864ADF75FD894E618601ABC2F231C65F"/>
                </w:placeholder>
              </w:sdtPr>
              <w:sdtContent>
                <w:r>
                  <w:rPr>
                    <w:rFonts w:eastAsia="Calibri"/>
                    <w:kern w:val="0"/>
                    <w:sz w:val="22"/>
                    <w:szCs w:val="22"/>
                    <w:lang w:val="en-US" w:eastAsia="en-US" w:bidi="ar-SA"/>
                  </w:rPr>
                  <w:t xml:space="preserve">ethanol </w:t>
                </w:r>
              </w:sdtContent>
            </w:sdt>
          </w:p>
        </w:tc>
      </w:tr>
      <w:tr>
        <w:trPr>
          <w:tblHeader w:val="true"/>
          <w:trHeight w:val="432" w:hRule="atLeast"/>
        </w:trPr>
        <w:tc>
          <w:tcPr>
            <w:tcW w:w="4516" w:type="dxa"/>
            <w:tcBorders>
              <w:top w:val="nil"/>
              <w:bottom w:val="nil"/>
              <w:right w:val="nil"/>
            </w:tcBorders>
            <w:shd w:color="auto" w:fill="F2F2F2" w:themeFill="background1" w:themeFillShade="f2" w:val="clear"/>
            <w:vAlign w:val="center"/>
          </w:tcPr>
          <w:p>
            <w:pPr>
              <w:pStyle w:val="Normal"/>
              <w:widowControl/>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Building/Room(s) covered by this SOP:</w:t>
            </w:r>
          </w:p>
        </w:tc>
        <w:tc>
          <w:tcPr>
            <w:tcW w:w="4833" w:type="dxa"/>
            <w:tcBorders>
              <w:top w:val="nil"/>
              <w:left w:val="nil"/>
              <w:bottom w:val="nil"/>
            </w:tcBorders>
            <w:vAlign w:val="bottom"/>
          </w:tcPr>
          <w:p>
            <w:pPr>
              <w:pStyle w:val="Normal"/>
              <w:widowControl/>
              <w:spacing w:lineRule="auto" w:line="240" w:before="120" w:after="120"/>
              <w:jc w:val="left"/>
              <w:rPr>
                <w:rFonts w:cs="Calibri" w:cstheme="minorHAnsi"/>
                <w:sz w:val="20"/>
                <w:szCs w:val="20"/>
              </w:rPr>
            </w:pPr>
            <w:sdt>
              <w:sdtPr>
                <w:id w:val="1997827256"/>
                <w:placeholder>
                  <w:docPart w:val="6B3188753ED244988FAABD55908BFC2B"/>
                </w:placeholder>
              </w:sdtPr>
              <w:sdtContent>
                <w:r>
                  <w:rPr>
                    <w:rFonts w:eastAsia="Calibri"/>
                    <w:kern w:val="0"/>
                    <w:sz w:val="22"/>
                    <w:szCs w:val="22"/>
                    <w:lang w:val="en-US" w:eastAsia="en-US" w:bidi="ar-SA"/>
                  </w:rPr>
                  <w:t>FTR 209/213</w:t>
                </w:r>
              </w:sdtContent>
            </w:sdt>
          </w:p>
        </w:tc>
      </w:tr>
      <w:tr>
        <w:trPr>
          <w:trHeight w:val="432" w:hRule="atLeast"/>
        </w:trPr>
        <w:tc>
          <w:tcPr>
            <w:tcW w:w="4516" w:type="dxa"/>
            <w:tcBorders>
              <w:top w:val="nil"/>
              <w:bottom w:val="nil"/>
              <w:right w:val="nil"/>
            </w:tcBorders>
            <w:shd w:color="auto" w:fill="F2F2F2" w:themeFill="background1" w:themeFillShade="f2" w:val="clear"/>
            <w:vAlign w:val="center"/>
          </w:tcPr>
          <w:p>
            <w:pPr>
              <w:pStyle w:val="Normal"/>
              <w:widowControl/>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Department:</w:t>
            </w:r>
          </w:p>
        </w:tc>
        <w:tc>
          <w:tcPr>
            <w:tcW w:w="4833" w:type="dxa"/>
            <w:tcBorders>
              <w:top w:val="nil"/>
              <w:left w:val="nil"/>
              <w:bottom w:val="nil"/>
            </w:tcBorders>
            <w:vAlign w:val="bottom"/>
          </w:tcPr>
          <w:p>
            <w:pPr>
              <w:pStyle w:val="Normal"/>
              <w:widowControl/>
              <w:spacing w:lineRule="auto" w:line="240" w:before="120" w:after="120"/>
              <w:jc w:val="left"/>
              <w:rPr>
                <w:rFonts w:cs="Calibri" w:cstheme="minorHAnsi"/>
                <w:sz w:val="20"/>
                <w:szCs w:val="20"/>
              </w:rPr>
            </w:pPr>
            <w:r>
              <w:rPr>
                <w:rStyle w:val="PlaceholderText"/>
                <w:rFonts w:eastAsia="Calibri" w:cs="Calibri" w:cstheme="minorHAnsi"/>
                <w:kern w:val="0"/>
                <w:sz w:val="20"/>
                <w:szCs w:val="20"/>
                <w:lang w:val="en-US" w:eastAsia="en-US" w:bidi="ar-SA"/>
              </w:rPr>
              <w:t>School of Aquatic &amp; Fishery Sciences</w:t>
            </w:r>
          </w:p>
        </w:tc>
      </w:tr>
      <w:tr>
        <w:trPr>
          <w:trHeight w:val="432" w:hRule="atLeast"/>
        </w:trPr>
        <w:tc>
          <w:tcPr>
            <w:tcW w:w="4516" w:type="dxa"/>
            <w:tcBorders>
              <w:top w:val="nil"/>
              <w:bottom w:val="nil"/>
              <w:right w:val="nil"/>
            </w:tcBorders>
            <w:shd w:color="auto" w:fill="F2F2F2" w:themeFill="background1" w:themeFillShade="f2" w:val="clear"/>
            <w:vAlign w:val="center"/>
          </w:tcPr>
          <w:p>
            <w:pPr>
              <w:pStyle w:val="Normal"/>
              <w:widowControl/>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Principal Investigator Name:</w:t>
            </w:r>
          </w:p>
        </w:tc>
        <w:tc>
          <w:tcPr>
            <w:tcW w:w="4833" w:type="dxa"/>
            <w:tcBorders>
              <w:top w:val="nil"/>
              <w:left w:val="nil"/>
              <w:bottom w:val="nil"/>
            </w:tcBorders>
            <w:vAlign w:val="bottom"/>
          </w:tcPr>
          <w:p>
            <w:pPr>
              <w:pStyle w:val="Normal"/>
              <w:widowControl/>
              <w:spacing w:lineRule="auto" w:line="240" w:before="120" w:after="120"/>
              <w:jc w:val="left"/>
              <w:rPr>
                <w:rFonts w:cs="Calibri" w:cstheme="minorHAnsi"/>
                <w:sz w:val="20"/>
                <w:szCs w:val="20"/>
              </w:rPr>
            </w:pPr>
            <w:r>
              <w:rPr>
                <w:rStyle w:val="PlaceholderText"/>
                <w:rFonts w:eastAsia="Calibri" w:cs="Calibri" w:cstheme="minorHAnsi"/>
                <w:kern w:val="0"/>
                <w:sz w:val="20"/>
                <w:szCs w:val="20"/>
                <w:lang w:val="en-US" w:eastAsia="en-US" w:bidi="ar-SA"/>
              </w:rPr>
              <w:t>Steven Roberts</w:t>
            </w:r>
          </w:p>
        </w:tc>
      </w:tr>
      <w:tr>
        <w:trPr>
          <w:trHeight w:val="432" w:hRule="atLeast"/>
        </w:trPr>
        <w:tc>
          <w:tcPr>
            <w:tcW w:w="4516" w:type="dxa"/>
            <w:tcBorders>
              <w:top w:val="nil"/>
              <w:right w:val="nil"/>
            </w:tcBorders>
            <w:shd w:color="auto" w:fill="F2F2F2" w:themeFill="background1" w:themeFillShade="f2" w:val="clear"/>
            <w:vAlign w:val="center"/>
          </w:tcPr>
          <w:p>
            <w:pPr>
              <w:pStyle w:val="Normal"/>
              <w:widowControl/>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Principal Investigator Signature:</w:t>
            </w:r>
          </w:p>
        </w:tc>
        <w:tc>
          <w:tcPr>
            <w:tcW w:w="4833" w:type="dxa"/>
            <w:tcBorders>
              <w:top w:val="nil"/>
              <w:left w:val="nil"/>
            </w:tcBorders>
            <w:vAlign w:val="bottom"/>
          </w:tcPr>
          <w:p>
            <w:pPr>
              <w:pStyle w:val="Normal"/>
              <w:widowControl/>
              <w:spacing w:lineRule="auto" w:line="240" w:before="120" w:after="120"/>
              <w:jc w:val="left"/>
              <w:rPr>
                <w:rFonts w:cs="Calibri" w:cstheme="minorHAnsi"/>
                <w:sz w:val="20"/>
                <w:szCs w:val="20"/>
              </w:rPr>
            </w:pPr>
            <w:sdt>
              <w:sdtPr>
                <w:id w:val="145303817"/>
                <w:placeholder>
                  <w:docPart w:val="AE2879F914E24C738FA37BE45F610177"/>
                </w:placeholder>
              </w:sdtPr>
              <w:sdtContent>
                <w:r>
                  <w:rPr>
                    <w:rFonts w:eastAsia="Calibri"/>
                    <w:kern w:val="0"/>
                    <w:sz w:val="22"/>
                    <w:szCs w:val="22"/>
                    <w:lang w:val="en-US" w:eastAsia="en-US" w:bidi="ar-SA"/>
                  </w:rPr>
                  <w:t>Click here to enter text.</w:t>
                </w:r>
              </w:sdtContent>
            </w:sdt>
          </w:p>
        </w:tc>
      </w:tr>
    </w:tbl>
    <w:p>
      <w:pPr>
        <w:pStyle w:val="Heading1"/>
        <w:spacing w:lineRule="auto" w:line="288" w:before="120" w:after="120"/>
        <w:rPr>
          <w:rFonts w:ascii="Calibri" w:hAnsi="Calibri" w:cs="Calibri"/>
          <w:b/>
          <w:b/>
        </w:rPr>
      </w:pPr>
      <w:bookmarkStart w:id="0" w:name="_GoBack"/>
      <w:bookmarkEnd w:id="0"/>
      <w:r>
        <w:rPr>
          <w:rFonts w:cs="Calibri" w:ascii="Calibri" w:hAnsi="Calibri"/>
          <w:b/>
        </w:rPr>
        <w:t>Section 2 – Definitions and Hazards</w:t>
      </w:r>
    </w:p>
    <w:p>
      <w:pPr>
        <w:pStyle w:val="NoSpacing"/>
        <w:numPr>
          <w:ilvl w:val="0"/>
          <w:numId w:val="1"/>
        </w:numPr>
        <w:spacing w:lineRule="auto" w:line="288"/>
        <w:rPr>
          <w:rFonts w:cs="Calibri" w:cstheme="minorHAnsi"/>
          <w:sz w:val="20"/>
          <w:szCs w:val="20"/>
        </w:rPr>
      </w:pPr>
      <w:r>
        <w:rPr>
          <w:rFonts w:cs="Calibri" w:cstheme="minorHAnsi"/>
          <w:b/>
          <w:color w:val="222222"/>
          <w:sz w:val="20"/>
          <w:szCs w:val="20"/>
        </w:rPr>
        <w:t>Flammable Liquid:</w:t>
      </w:r>
      <w:r>
        <w:rPr>
          <w:rFonts w:cs="Calibri" w:cstheme="minorHAnsi"/>
          <w:color w:val="222222"/>
          <w:sz w:val="20"/>
          <w:szCs w:val="20"/>
        </w:rPr>
        <w:t xml:space="preserve"> Liquids having a flash point below 38</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C (100</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F).</w:t>
      </w:r>
    </w:p>
    <w:p>
      <w:pPr>
        <w:pStyle w:val="NoSpacing"/>
        <w:numPr>
          <w:ilvl w:val="0"/>
          <w:numId w:val="1"/>
        </w:numPr>
        <w:spacing w:lineRule="auto" w:line="288"/>
        <w:rPr>
          <w:rFonts w:cs="Calibri" w:cstheme="minorHAnsi"/>
          <w:sz w:val="20"/>
          <w:szCs w:val="20"/>
        </w:rPr>
      </w:pPr>
      <w:r>
        <w:rPr>
          <w:rFonts w:eastAsia="Times New Roman" w:cs="Calibri" w:cstheme="minorHAnsi"/>
          <w:b/>
          <w:color w:val="000000"/>
          <w:sz w:val="20"/>
          <w:szCs w:val="20"/>
          <w:shd w:fill="FFFFFF" w:val="clear"/>
        </w:rPr>
        <w:t>Combustible Liquid:</w:t>
      </w:r>
      <w:r>
        <w:rPr>
          <w:rFonts w:eastAsia="Times New Roman" w:cs="Calibri" w:cstheme="minorHAnsi"/>
          <w:color w:val="000000"/>
          <w:sz w:val="20"/>
          <w:szCs w:val="20"/>
          <w:shd w:fill="FFFFFF" w:val="clear"/>
        </w:rPr>
        <w:t xml:space="preserve"> Liquids having a flash point at or above </w:t>
      </w:r>
      <w:r>
        <w:rPr>
          <w:rFonts w:cs="Calibri" w:cstheme="minorHAnsi"/>
          <w:color w:val="222222"/>
          <w:sz w:val="20"/>
          <w:szCs w:val="20"/>
        </w:rPr>
        <w:t>38</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C (100</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 xml:space="preserve">F) and no greater than </w:t>
      </w:r>
      <w:r>
        <w:rPr>
          <w:rFonts w:cs="Calibri" w:cstheme="minorHAnsi"/>
          <w:color w:val="222222"/>
          <w:sz w:val="20"/>
          <w:szCs w:val="20"/>
        </w:rPr>
        <w:t>93</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C (200</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F).</w:t>
      </w:r>
    </w:p>
    <w:p>
      <w:pPr>
        <w:pStyle w:val="NoSpacing"/>
        <w:numPr>
          <w:ilvl w:val="0"/>
          <w:numId w:val="1"/>
        </w:numPr>
        <w:spacing w:lineRule="auto" w:line="288"/>
        <w:rPr>
          <w:rFonts w:cs="Calibri" w:cstheme="minorHAnsi"/>
          <w:sz w:val="20"/>
          <w:szCs w:val="20"/>
        </w:rPr>
      </w:pPr>
      <w:r>
        <w:drawing>
          <wp:anchor behindDoc="0" distT="0" distB="0" distL="114300" distR="114300" simplePos="0" locked="0" layoutInCell="0" allowOverlap="1" relativeHeight="7">
            <wp:simplePos x="0" y="0"/>
            <wp:positionH relativeFrom="column">
              <wp:posOffset>5309870</wp:posOffset>
            </wp:positionH>
            <wp:positionV relativeFrom="paragraph">
              <wp:posOffset>340995</wp:posOffset>
            </wp:positionV>
            <wp:extent cx="1104900" cy="1494155"/>
            <wp:effectExtent l="0" t="0" r="0" b="0"/>
            <wp:wrapSquare wrapText="bothSides"/>
            <wp:docPr id="1" name="Picture 2" descr="Diagram illustrating flammable range relating to gas percentage in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 illustrating flammable range relating to gas percentage in air."/>
                    <pic:cNvPicPr>
                      <a:picLocks noChangeAspect="1" noChangeArrowheads="1"/>
                    </pic:cNvPicPr>
                  </pic:nvPicPr>
                  <pic:blipFill>
                    <a:blip r:embed="rId2"/>
                    <a:stretch>
                      <a:fillRect/>
                    </a:stretch>
                  </pic:blipFill>
                  <pic:spPr bwMode="auto">
                    <a:xfrm>
                      <a:off x="0" y="0"/>
                      <a:ext cx="1104900" cy="1494155"/>
                    </a:xfrm>
                    <a:prstGeom prst="rect">
                      <a:avLst/>
                    </a:prstGeom>
                    <a:ln w="9525">
                      <a:solidFill>
                        <a:srgbClr val="000000"/>
                      </a:solidFill>
                    </a:ln>
                  </pic:spPr>
                </pic:pic>
              </a:graphicData>
            </a:graphic>
          </wp:anchor>
        </w:drawing>
      </w:r>
      <w:r>
        <w:rPr>
          <w:rFonts w:eastAsia="Times New Roman" w:cs="Calibri" w:cstheme="minorHAnsi"/>
          <w:b/>
          <w:color w:val="000000"/>
          <w:sz w:val="20"/>
          <w:szCs w:val="20"/>
          <w:shd w:fill="FFFFFF" w:val="clear"/>
        </w:rPr>
        <w:t>Flash Point:</w:t>
      </w:r>
      <w:r>
        <w:rPr>
          <w:rFonts w:eastAsia="Times New Roman" w:cs="Calibri" w:cstheme="minorHAnsi"/>
          <w:color w:val="000000"/>
          <w:sz w:val="20"/>
          <w:szCs w:val="20"/>
          <w:shd w:fill="FFFFFF" w:val="clear"/>
        </w:rPr>
        <w:t xml:space="preserve"> The minimum temperature at which vapors are formed on the surface of a substance in sufficient quantity to ignite when exposed to an ignition source.</w:t>
      </w:r>
    </w:p>
    <w:p>
      <w:pPr>
        <w:pStyle w:val="NoSpacing"/>
        <w:numPr>
          <w:ilvl w:val="0"/>
          <w:numId w:val="1"/>
        </w:numPr>
        <w:rPr>
          <w:rFonts w:cs="Calibri" w:cstheme="minorHAnsi"/>
          <w:sz w:val="20"/>
          <w:szCs w:val="20"/>
        </w:rPr>
      </w:pPr>
      <w:r>
        <w:rPr>
          <w:rFonts w:cs="Calibri" w:cstheme="minorHAnsi"/>
          <w:b/>
          <w:bCs/>
          <w:sz w:val="20"/>
          <w:szCs w:val="20"/>
        </w:rPr>
        <w:t xml:space="preserve">Fire Point: </w:t>
      </w:r>
      <w:r>
        <w:rPr>
          <w:rFonts w:cs="Calibri" w:cstheme="minorHAnsi"/>
          <w:sz w:val="20"/>
          <w:szCs w:val="20"/>
        </w:rPr>
        <w:t>The minimum temperature at which self-sustained combustion of a substance will occur upon or after exposure to an ignition source.</w:t>
      </w:r>
    </w:p>
    <w:p>
      <w:pPr>
        <w:pStyle w:val="NoSpacing"/>
        <w:numPr>
          <w:ilvl w:val="0"/>
          <w:numId w:val="1"/>
        </w:numPr>
        <w:rPr>
          <w:rFonts w:cs="Calibri" w:cstheme="minorHAnsi"/>
          <w:sz w:val="20"/>
          <w:szCs w:val="20"/>
        </w:rPr>
      </w:pPr>
      <w:r>
        <w:rPr>
          <w:rFonts w:cs="Calibri" w:cstheme="minorHAnsi"/>
          <w:b/>
          <w:bCs/>
          <w:sz w:val="20"/>
          <w:szCs w:val="20"/>
        </w:rPr>
        <w:t>Boiling Point:</w:t>
      </w:r>
      <w:r>
        <w:rPr>
          <w:rFonts w:cs="Calibri" w:cstheme="minorHAnsi"/>
          <w:sz w:val="20"/>
          <w:szCs w:val="20"/>
        </w:rPr>
        <w:t xml:space="preserve"> The temperature at which the vapor pressure of a liquid equals the atmospheric pressure and the liquid changes into a vapor.</w:t>
      </w:r>
    </w:p>
    <w:p>
      <w:pPr>
        <w:pStyle w:val="NoSpacing"/>
        <w:numPr>
          <w:ilvl w:val="0"/>
          <w:numId w:val="1"/>
        </w:numPr>
        <w:rPr>
          <w:rFonts w:cs="Calibri" w:cstheme="minorHAnsi"/>
          <w:sz w:val="20"/>
          <w:szCs w:val="20"/>
        </w:rPr>
      </w:pPr>
      <w:r>
        <w:rPr>
          <w:rFonts w:cs="Calibri" w:cstheme="minorHAnsi"/>
          <w:b/>
          <w:bCs/>
          <w:sz w:val="20"/>
          <w:szCs w:val="20"/>
        </w:rPr>
        <w:t xml:space="preserve">Auto Ignition Temperature: </w:t>
      </w:r>
      <w:r>
        <w:rPr>
          <w:rFonts w:cs="Calibri" w:cstheme="minorHAnsi"/>
          <w:sz w:val="20"/>
          <w:szCs w:val="20"/>
        </w:rPr>
        <w:t>The minimum temperature at which self-sustained combustion will occur in the absence of an ignition source.</w:t>
      </w:r>
    </w:p>
    <w:p>
      <w:pPr>
        <w:pStyle w:val="NoSpacing"/>
        <w:numPr>
          <w:ilvl w:val="0"/>
          <w:numId w:val="1"/>
        </w:numPr>
        <w:rPr>
          <w:rFonts w:cs="Calibri" w:cstheme="minorHAnsi"/>
          <w:sz w:val="20"/>
          <w:szCs w:val="20"/>
        </w:rPr>
      </w:pPr>
      <w:r>
        <w:rPr>
          <w:rFonts w:cs="Calibri" w:cstheme="minorHAnsi"/>
          <w:b/>
          <w:bCs/>
          <w:sz w:val="20"/>
          <w:szCs w:val="20"/>
        </w:rPr>
        <w:t>Lower Explosive Limit</w:t>
      </w:r>
      <w:r>
        <w:rPr>
          <w:rFonts w:cs="Calibri" w:cstheme="minorHAnsi"/>
          <w:sz w:val="20"/>
          <w:szCs w:val="20"/>
        </w:rPr>
        <w:t xml:space="preserve"> </w:t>
      </w:r>
      <w:r>
        <w:rPr>
          <w:rFonts w:cs="Calibri" w:cstheme="minorHAnsi"/>
          <w:b/>
          <w:sz w:val="20"/>
          <w:szCs w:val="20"/>
        </w:rPr>
        <w:t>(LEL):</w:t>
      </w:r>
      <w:r>
        <w:rPr>
          <w:rFonts w:cs="Calibri" w:cstheme="minorHAnsi"/>
          <w:sz w:val="20"/>
          <w:szCs w:val="20"/>
        </w:rPr>
        <w:t xml:space="preserve"> The lowest concentration (percentage) of a gas or a vapor in air capable of producing a flash of fire in presence of an ignition source (arc, flame, heat).</w:t>
      </w:r>
    </w:p>
    <w:p>
      <w:pPr>
        <w:pStyle w:val="NoSpacing"/>
        <w:numPr>
          <w:ilvl w:val="0"/>
          <w:numId w:val="1"/>
        </w:numPr>
        <w:rPr>
          <w:rFonts w:cs="Calibri" w:cstheme="minorHAnsi"/>
          <w:sz w:val="20"/>
          <w:szCs w:val="20"/>
        </w:rPr>
      </w:pPr>
      <w:r>
        <w:rPr>
          <w:rFonts w:cs="Calibri" w:cstheme="minorHAnsi"/>
          <w:b/>
          <w:bCs/>
          <w:sz w:val="20"/>
          <w:szCs w:val="20"/>
        </w:rPr>
        <w:t>Upper Explosive Limit</w:t>
      </w:r>
      <w:r>
        <w:rPr>
          <w:rFonts w:cs="Calibri" w:cstheme="minorHAnsi"/>
          <w:sz w:val="20"/>
          <w:szCs w:val="20"/>
        </w:rPr>
        <w:t xml:space="preserve"> </w:t>
      </w:r>
      <w:r>
        <w:rPr>
          <w:rFonts w:cs="Calibri" w:cstheme="minorHAnsi"/>
          <w:b/>
          <w:sz w:val="20"/>
          <w:szCs w:val="20"/>
        </w:rPr>
        <w:t>(UEL):</w:t>
      </w:r>
      <w:r>
        <w:rPr>
          <w:rFonts w:cs="Calibri" w:cstheme="minorHAnsi"/>
          <w:sz w:val="20"/>
          <w:szCs w:val="20"/>
        </w:rPr>
        <w:t xml:space="preserve"> Highest concentration (percentage) of a gas or a vapor in air capable of producing a flash of fire in presence of an ignition source (arc, flame, heat). </w:t>
      </w:r>
    </w:p>
    <w:p>
      <w:pPr>
        <w:pStyle w:val="NoSpacing"/>
        <w:ind w:left="360" w:hanging="0"/>
        <w:rPr>
          <w:rFonts w:cs="Calibri" w:cstheme="minorHAnsi"/>
          <w:sz w:val="20"/>
          <w:szCs w:val="20"/>
        </w:rPr>
      </w:pPr>
      <w:r>
        <w:rPr>
          <w:rFonts w:cs="Calibri" w:cstheme="minorHAnsi"/>
          <w:sz w:val="20"/>
          <w:szCs w:val="20"/>
        </w:rPr>
      </w:r>
    </w:p>
    <w:p>
      <w:pPr>
        <w:pStyle w:val="Normal"/>
        <w:spacing w:lineRule="auto" w:line="288" w:before="0" w:after="0"/>
        <w:rPr>
          <w:rFonts w:cs="Calibri" w:cstheme="minorHAnsi"/>
          <w:color w:val="222222"/>
          <w:sz w:val="20"/>
          <w:szCs w:val="20"/>
        </w:rPr>
      </w:pPr>
      <w:r>
        <w:rPr>
          <w:rFonts w:eastAsia="Times New Roman" w:cs="Calibri" w:cstheme="minorHAnsi"/>
          <w:color w:val="000000"/>
          <w:sz w:val="20"/>
          <w:szCs w:val="20"/>
          <w:shd w:fill="FFFFFF" w:val="clear"/>
        </w:rPr>
        <w:t xml:space="preserve">Keep flammable or combustible liquid away from heat, sparks, open flames, and hot surfaces. Flammable and combustible liquids often have other hazards associated with them such as toxicity and the ability to form explosive organic peroxides. Make sure that all of the potential hazards are understood before handling any chemical. </w:t>
      </w:r>
    </w:p>
    <w:p>
      <w:pPr>
        <w:pStyle w:val="Normal"/>
        <w:spacing w:lineRule="auto" w:line="288" w:before="120" w:after="120"/>
        <w:rPr>
          <w:rFonts w:cs="Calibri" w:cstheme="minorHAnsi"/>
          <w:b/>
          <w:b/>
          <w:sz w:val="24"/>
          <w:szCs w:val="24"/>
        </w:rPr>
      </w:pPr>
      <w:r>
        <w:rPr/>
        <w:drawing>
          <wp:inline distT="0" distB="0" distL="0" distR="0">
            <wp:extent cx="627380" cy="628015"/>
            <wp:effectExtent l="0" t="0" r="0" b="0"/>
            <wp:docPr id="2" name="Picture 1" descr="GHS Flammable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HS Flammable Hazard Pictogram"/>
                    <pic:cNvPicPr>
                      <a:picLocks noChangeAspect="1" noChangeArrowheads="1"/>
                    </pic:cNvPicPr>
                  </pic:nvPicPr>
                  <pic:blipFill>
                    <a:blip r:embed="rId3"/>
                    <a:stretch>
                      <a:fillRect/>
                    </a:stretch>
                  </pic:blipFill>
                  <pic:spPr bwMode="auto">
                    <a:xfrm>
                      <a:off x="0" y="0"/>
                      <a:ext cx="627380" cy="628015"/>
                    </a:xfrm>
                    <a:prstGeom prst="rect">
                      <a:avLst/>
                    </a:prstGeom>
                  </pic:spPr>
                </pic:pic>
              </a:graphicData>
            </a:graphic>
          </wp:inline>
        </w:drawing>
      </w:r>
    </w:p>
    <w:p>
      <w:pPr>
        <w:pStyle w:val="NoSpacing"/>
        <w:spacing w:lineRule="auto" w:line="288" w:before="120" w:after="120"/>
        <w:rPr>
          <w:rFonts w:ascii="Calibri" w:hAnsi="Calibri" w:cs="Calibri"/>
          <w:b/>
          <w:b/>
          <w:sz w:val="24"/>
          <w:szCs w:val="24"/>
        </w:rPr>
      </w:pPr>
      <w:r>
        <w:rPr>
          <w:rFonts w:cs="Calibri"/>
          <w:b/>
          <w:sz w:val="24"/>
          <w:szCs w:val="24"/>
        </w:rPr>
        <w:t>Section 3 – Engineering and Personal Protective Equipment (PPE)</w:t>
      </w:r>
    </w:p>
    <w:p>
      <w:pPr>
        <w:pStyle w:val="Normal"/>
        <w:spacing w:lineRule="auto" w:line="288" w:before="120" w:after="120"/>
        <w:rPr>
          <w:rFonts w:cs="Calibri" w:cstheme="minorHAnsi"/>
          <w:sz w:val="20"/>
          <w:szCs w:val="20"/>
        </w:rPr>
      </w:pPr>
      <w:r>
        <w:rPr>
          <w:rFonts w:cs="Calibri" w:cstheme="minorHAnsi"/>
          <w:b/>
          <w:sz w:val="20"/>
          <w:szCs w:val="20"/>
        </w:rPr>
        <w:t>Engineering Controls:</w:t>
      </w:r>
      <w:r>
        <w:rPr>
          <w:rFonts w:cs="Calibri" w:cstheme="minorHAnsi"/>
          <w:sz w:val="20"/>
          <w:szCs w:val="20"/>
        </w:rPr>
        <w:t xml:space="preserve"> The use of flammable and combustible liquids should be conducted in a properly functioning chemical fume hood whenever possible. The chemical fume hood must be approved and certified by EH&amp;S. </w:t>
      </w:r>
    </w:p>
    <w:p>
      <w:pPr>
        <w:pStyle w:val="Normal"/>
        <w:spacing w:lineRule="auto" w:line="288" w:before="120" w:after="120"/>
        <w:rPr>
          <w:rFonts w:cs="Calibri" w:cstheme="minorHAnsi"/>
          <w:sz w:val="20"/>
          <w:szCs w:val="20"/>
        </w:rPr>
      </w:pPr>
      <w:r>
        <w:rPr>
          <w:rFonts w:cs="Calibri" w:cstheme="minorHAnsi"/>
          <w:b/>
          <w:sz w:val="20"/>
          <w:szCs w:val="20"/>
        </w:rPr>
        <w:t>Hygiene Measures:</w:t>
      </w:r>
      <w:r>
        <w:rPr>
          <w:rFonts w:cs="Calibri" w:cstheme="minorHAnsi"/>
          <w:sz w:val="20"/>
          <w:szCs w:val="20"/>
        </w:rPr>
        <w:t xml:space="preserve"> Avoid contact with skin, eyes, and clothing. Wash hands before breaks and immediately after handling the chemical.</w:t>
      </w:r>
    </w:p>
    <w:p>
      <w:pPr>
        <w:pStyle w:val="NoSpacing"/>
        <w:spacing w:lineRule="auto" w:line="288" w:before="120" w:after="120"/>
        <w:rPr>
          <w:rFonts w:cs="Calibri" w:cstheme="minorHAnsi"/>
          <w:color w:val="000080"/>
          <w:sz w:val="20"/>
          <w:szCs w:val="20"/>
        </w:rPr>
      </w:pPr>
      <w:r>
        <w:rPr>
          <w:rFonts w:cs="Calibri" w:cstheme="minorHAnsi"/>
          <w:b/>
          <w:sz w:val="20"/>
          <w:szCs w:val="20"/>
        </w:rPr>
        <w:t xml:space="preserve">Hand Protection: </w:t>
      </w:r>
      <w:r>
        <w:rPr>
          <w:rFonts w:cs="Calibri" w:cstheme="minorHAnsi"/>
          <w:sz w:val="20"/>
          <w:szCs w:val="20"/>
        </w:rPr>
        <w:t xml:space="preserve">Chemical-resistant gloves must be worn, nitrile gloves are recommended for low volume applications. Wearing two pairs of nitrile gloves is recommended. If handling a high volume (&gt; 1 liters) of flammable or combustible liquid, then disposable gloves are likely not suitable; a more heavy duty glove such as a butyl rubber is required. </w:t>
      </w:r>
      <w:r>
        <w:rPr>
          <w:rFonts w:cs="Calibri" w:cstheme="minorHAnsi"/>
          <w:b/>
          <w:color w:val="FF0000"/>
          <w:sz w:val="20"/>
          <w:szCs w:val="20"/>
        </w:rPr>
        <w:t>NOTE:</w:t>
      </w:r>
      <w:r>
        <w:rPr>
          <w:rFonts w:cs="Calibri" w:cstheme="minorHAnsi"/>
          <w:sz w:val="20"/>
          <w:szCs w:val="20"/>
        </w:rPr>
        <w:t xml:space="preserve"> Consult with your preferred glove manufacturer to ensure that the gloves you plan on using are compatible with the specific chemical being used</w:t>
      </w:r>
      <w:r>
        <w:rPr>
          <w:rFonts w:cs="Calibri" w:cstheme="minorHAnsi"/>
          <w:color w:val="222222"/>
          <w:sz w:val="20"/>
          <w:szCs w:val="20"/>
        </w:rPr>
        <w:t>.</w:t>
      </w:r>
    </w:p>
    <w:p>
      <w:pPr>
        <w:pStyle w:val="NoSpacing"/>
        <w:spacing w:lineRule="auto" w:line="288" w:before="120" w:after="120"/>
        <w:rPr>
          <w:rFonts w:cs="Calibri" w:cstheme="minorHAnsi"/>
          <w:b/>
          <w:b/>
          <w:sz w:val="20"/>
          <w:szCs w:val="20"/>
        </w:rPr>
      </w:pPr>
      <w:r>
        <w:rPr>
          <w:rFonts w:cs="Calibri" w:cstheme="minorHAnsi"/>
          <w:b/>
          <w:sz w:val="20"/>
          <w:szCs w:val="20"/>
        </w:rPr>
        <w:t>Eye Protection:</w:t>
      </w:r>
      <w:r>
        <w:rPr>
          <w:rFonts w:cs="Calibri" w:cstheme="minorHAnsi"/>
          <w:sz w:val="20"/>
          <w:szCs w:val="20"/>
        </w:rPr>
        <w:t xml:space="preserve"> ANSI-approved properly fitting safety glasses or chemical splash goggles are required. A face shield may also be appropriate depending on the specific application.</w:t>
      </w:r>
    </w:p>
    <w:p>
      <w:pPr>
        <w:pStyle w:val="NoSpacing"/>
        <w:spacing w:lineRule="auto" w:line="288" w:before="120" w:after="120"/>
        <w:rPr>
          <w:rFonts w:cs="Calibri" w:cstheme="minorHAnsi"/>
          <w:sz w:val="20"/>
          <w:szCs w:val="20"/>
        </w:rPr>
      </w:pPr>
      <w:r>
        <w:rPr>
          <w:rFonts w:cs="Calibri" w:cstheme="minorHAnsi"/>
          <w:b/>
          <w:sz w:val="20"/>
          <w:szCs w:val="20"/>
        </w:rPr>
        <w:t>Skin and Body Protection:</w:t>
      </w:r>
      <w:r>
        <w:rPr>
          <w:rFonts w:cs="Calibri" w:cstheme="minorHAnsi"/>
          <w:sz w:val="20"/>
          <w:szCs w:val="20"/>
        </w:rPr>
        <w:t xml:space="preserve"> Laboratory coats must be worn and be appropriately sized for the individual and buttoned to their full length. Flame resistant lab coats must be worn when handling volumes greater than 1 liter. Personnel must also wear full length pants, or equivalent, and close-toed shoes. Full length pants and close-toed shoes must be worn at all times by all individuals that are occupying the laboratory area. The area of skin between the shoe and ankle must not be exposed.  </w:t>
      </w:r>
    </w:p>
    <w:p>
      <w:pPr>
        <w:pStyle w:val="NoSpacing"/>
        <w:spacing w:lineRule="auto" w:line="288" w:before="120" w:after="120"/>
        <w:rPr>
          <w:rFonts w:cs="Calibri" w:cstheme="minorHAnsi"/>
          <w:b/>
          <w:b/>
          <w:sz w:val="20"/>
          <w:szCs w:val="20"/>
        </w:rPr>
      </w:pPr>
      <w:r>
        <w:rPr>
          <w:rFonts w:cs="Calibri" w:cstheme="minorHAnsi"/>
          <w:b/>
          <w:sz w:val="20"/>
          <w:szCs w:val="20"/>
        </w:rPr>
        <w:t>Respiratory Protection:</w:t>
      </w:r>
      <w:r>
        <w:rPr>
          <w:rFonts w:cs="Calibri" w:cstheme="minorHAnsi"/>
          <w:sz w:val="20"/>
          <w:szCs w:val="20"/>
        </w:rPr>
        <w:t xml:space="preserve"> If flammable and/or combustible liquids are being used outside of a chemical fume hood, respiratory protection may be required. If this activity is necessary, contact EH&amp;S at 206.616.3777 so a respiratory protection analysis can be performed.</w:t>
      </w:r>
    </w:p>
    <w:p>
      <w:pPr>
        <w:pStyle w:val="Heading1"/>
        <w:rPr>
          <w:rFonts w:ascii="Calibri" w:hAnsi="Calibri" w:cs="Calibri"/>
          <w:b/>
          <w:b/>
        </w:rPr>
      </w:pPr>
      <w:r>
        <w:rPr>
          <w:rFonts w:cs="Calibri" w:ascii="Calibri" w:hAnsi="Calibri"/>
          <w:b/>
        </w:rPr>
        <w:t>Section 4 – Special Handling and Storage Requirements</w:t>
      </w:r>
    </w:p>
    <w:p>
      <w:pPr>
        <w:pStyle w:val="ListParagraph"/>
        <w:numPr>
          <w:ilvl w:val="0"/>
          <w:numId w:val="2"/>
        </w:numPr>
        <w:spacing w:lineRule="auto" w:line="288" w:before="120" w:after="120"/>
        <w:contextualSpacing/>
        <w:rPr>
          <w:rFonts w:eastAsia="Times New Roman" w:cs="Calibri" w:cstheme="minorHAnsi"/>
          <w:color w:val="000000"/>
          <w:sz w:val="20"/>
          <w:szCs w:val="20"/>
        </w:rPr>
      </w:pPr>
      <w:r>
        <w:drawing>
          <wp:anchor behindDoc="0" distT="0" distB="0" distL="114300" distR="114300" simplePos="0" locked="0" layoutInCell="0" allowOverlap="1" relativeHeight="9">
            <wp:simplePos x="0" y="0"/>
            <wp:positionH relativeFrom="column">
              <wp:posOffset>5019675</wp:posOffset>
            </wp:positionH>
            <wp:positionV relativeFrom="paragraph">
              <wp:posOffset>297180</wp:posOffset>
            </wp:positionV>
            <wp:extent cx="1212850" cy="1424940"/>
            <wp:effectExtent l="0" t="0" r="0" b="0"/>
            <wp:wrapSquare wrapText="bothSides"/>
            <wp:docPr id="3" name="Picture 4" descr="Flammable Storage Cab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Flammable Storage Cabinet"/>
                    <pic:cNvPicPr>
                      <a:picLocks noChangeAspect="1" noChangeArrowheads="1"/>
                    </pic:cNvPicPr>
                  </pic:nvPicPr>
                  <pic:blipFill>
                    <a:blip r:embed="rId4"/>
                    <a:stretch>
                      <a:fillRect/>
                    </a:stretch>
                  </pic:blipFill>
                  <pic:spPr bwMode="auto">
                    <a:xfrm>
                      <a:off x="0" y="0"/>
                      <a:ext cx="1212850" cy="1424940"/>
                    </a:xfrm>
                    <a:prstGeom prst="rect">
                      <a:avLst/>
                    </a:prstGeom>
                  </pic:spPr>
                </pic:pic>
              </a:graphicData>
            </a:graphic>
          </wp:anchor>
        </w:drawing>
      </w:r>
      <w:r>
        <w:rPr>
          <w:rFonts w:cs="Calibri" w:cstheme="minorHAnsi"/>
          <w:sz w:val="20"/>
          <w:szCs w:val="20"/>
        </w:rPr>
        <w:t xml:space="preserve">Designate a storage area for flammable and combustible liquids such as a flammable storage cabinet (as shown to the right).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No more than 37 liters (10 gallons) of flammable liquid is permitted to be stored outside of a flammable storage cabinet.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Make a current copy of the SDS for the specific flammable/combustible liquids being used available to all personnel working in the laboratory at all times.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Do not over purchase; only purchase what can be safely stored in the laboratory.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Avoid contact with skin, eyes, and inhalation.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Keep away from sources of ignition.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eastAsia="Times New Roman" w:cs="Calibri" w:cstheme="minorHAnsi"/>
          <w:color w:val="000000"/>
          <w:sz w:val="20"/>
          <w:szCs w:val="20"/>
        </w:rPr>
        <w:t xml:space="preserve">Keep containers tightly closed. Store in a cool, dry, and well-ventilated area away from incompatible substances such as oxidizers. </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Follow laboratory supervisor’s instructions for PPE, which may differ depending on the type and/or quantity of flammable/combustible liquid being used.</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Use in the smallest practical quantities for the experiment being performed.</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Conduct work in a chemical fume hood if air concentrations above 10% of the PEL could be created, if the chemical is irritating to the eyes or respiratory system, and/or is toxic by inhalation.</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Keep containers closed when not in use. This is to preventing accumulation of flammable vapor concentrations and accidental ignition.</w:t>
      </w:r>
    </w:p>
    <w:p>
      <w:pPr>
        <w:pStyle w:val="ListParagraph"/>
        <w:numPr>
          <w:ilvl w:val="0"/>
          <w:numId w:val="2"/>
        </w:numPr>
        <w:spacing w:before="120" w:after="120"/>
        <w:contextualSpacing/>
        <w:rPr>
          <w:rFonts w:cs="Calibri" w:cstheme="minorHAnsi"/>
          <w:color w:val="000000" w:themeColor="text1"/>
          <w:sz w:val="20"/>
          <w:szCs w:val="20"/>
        </w:rPr>
      </w:pPr>
      <w:r>
        <w:rPr>
          <w:rFonts w:cs="Calibri" w:cstheme="minorHAnsi"/>
          <w:color w:val="000000" w:themeColor="text1"/>
          <w:sz w:val="20"/>
          <w:szCs w:val="20"/>
        </w:rPr>
        <w:t xml:space="preserve">Label containers appropriately. Label should indicate the name of the chemical(s) in the container. Avoid using chemical abbreviations and formulae. </w:t>
      </w:r>
    </w:p>
    <w:p>
      <w:pPr>
        <w:pStyle w:val="ListParagraph"/>
        <w:numPr>
          <w:ilvl w:val="0"/>
          <w:numId w:val="2"/>
        </w:numPr>
        <w:spacing w:before="120" w:after="120"/>
        <w:contextualSpacing/>
        <w:rPr>
          <w:rFonts w:cs="Calibri" w:cstheme="minorHAnsi"/>
          <w:color w:val="000000" w:themeColor="text1"/>
          <w:sz w:val="20"/>
          <w:szCs w:val="20"/>
        </w:rPr>
      </w:pPr>
      <w:r>
        <w:rPr>
          <w:rFonts w:cs="Calibri" w:cstheme="minorHAnsi"/>
          <w:color w:val="000000" w:themeColor="text1"/>
          <w:sz w:val="20"/>
          <w:szCs w:val="20"/>
        </w:rPr>
        <w:t>When not in use, store in flammable storage cabinets if possible.</w:t>
      </w:r>
      <w:r>
        <w:rPr/>
        <w:t xml:space="preserve"> </w:t>
      </w:r>
    </w:p>
    <w:p>
      <w:pPr>
        <w:pStyle w:val="ListParagraph"/>
        <w:numPr>
          <w:ilvl w:val="0"/>
          <w:numId w:val="2"/>
        </w:numPr>
        <w:spacing w:before="120" w:after="120"/>
        <w:contextualSpacing/>
        <w:rPr>
          <w:rFonts w:cs="Calibri" w:cstheme="minorHAnsi"/>
          <w:color w:val="000000" w:themeColor="text1"/>
          <w:sz w:val="20"/>
          <w:szCs w:val="20"/>
        </w:rPr>
      </w:pPr>
      <w:r>
        <w:drawing>
          <wp:anchor behindDoc="0" distT="0" distB="0" distL="114300" distR="114300" simplePos="0" locked="0" layoutInCell="0" allowOverlap="1" relativeHeight="8">
            <wp:simplePos x="0" y="0"/>
            <wp:positionH relativeFrom="column">
              <wp:posOffset>5181600</wp:posOffset>
            </wp:positionH>
            <wp:positionV relativeFrom="paragraph">
              <wp:posOffset>19050</wp:posOffset>
            </wp:positionV>
            <wp:extent cx="1212850" cy="1418590"/>
            <wp:effectExtent l="0" t="0" r="0" b="0"/>
            <wp:wrapSquare wrapText="bothSides"/>
            <wp:docPr id="4" name="Picture 3" descr="Figure 5.2 – Flammable Safety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ure 5.2 – Flammable Safety Can"/>
                    <pic:cNvPicPr>
                      <a:picLocks noChangeAspect="1" noChangeArrowheads="1"/>
                    </pic:cNvPicPr>
                  </pic:nvPicPr>
                  <pic:blipFill>
                    <a:blip r:embed="rId5"/>
                    <a:stretch>
                      <a:fillRect/>
                    </a:stretch>
                  </pic:blipFill>
                  <pic:spPr bwMode="auto">
                    <a:xfrm>
                      <a:off x="0" y="0"/>
                      <a:ext cx="1212850" cy="1418590"/>
                    </a:xfrm>
                    <a:prstGeom prst="rect">
                      <a:avLst/>
                    </a:prstGeom>
                  </pic:spPr>
                </pic:pic>
              </a:graphicData>
            </a:graphic>
          </wp:anchor>
        </w:drawing>
      </w:r>
      <w:r>
        <w:rPr>
          <w:rFonts w:cs="Calibri" w:cstheme="minorHAnsi"/>
          <w:color w:val="000000" w:themeColor="text1"/>
          <w:sz w:val="20"/>
          <w:szCs w:val="20"/>
        </w:rPr>
        <w:t>Containers must be in good condition and compatible with the material; store in safety cans (spring closing lid, as illustrated to the right) if possible.</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Avoid using ignition sources (flame burners or any open flame source, hot plates, electrical equipment with frayed or cracked wiring, etc.) and/or creating static electricity in areas where flammable/combustible chemicals are being used.</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Ground and bond containers when transferring more than 4 liters of flammable/combustible liquids.</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Transport all flammable/combustible liquids in secondary containment, such as polyethylene or other non-reactive acid/solvent bottle carrier.</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Segregate flammable/combustible liquids from incompatible materials such as oxidizers (e.g., hydrogen peroxide, nitric acid). Incompatibilities will be noted in Section 10 of the SDS, “Stability and Reactivity”.</w:t>
      </w:r>
    </w:p>
    <w:p>
      <w:pPr>
        <w:pStyle w:val="ListParagraph"/>
        <w:numPr>
          <w:ilvl w:val="0"/>
          <w:numId w:val="2"/>
        </w:numPr>
        <w:spacing w:before="120" w:after="120"/>
        <w:contextualSpacing/>
        <w:rPr>
          <w:rFonts w:cs="Calibri" w:cstheme="minorHAnsi"/>
          <w:color w:val="000000" w:themeColor="text1"/>
          <w:sz w:val="20"/>
          <w:szCs w:val="20"/>
        </w:rPr>
      </w:pPr>
      <w:r>
        <w:rPr>
          <w:rFonts w:cs="Calibri" w:cstheme="minorHAnsi"/>
          <w:color w:val="000000" w:themeColor="text1"/>
          <w:sz w:val="20"/>
          <w:szCs w:val="20"/>
        </w:rPr>
        <w:t xml:space="preserve">If flammable liquids will be stored in refrigerators or freezers, these will be specially modified or purpose-made “flammable-safe” refrigerators and freezers which have no internal sources of ignition posed by an internal light or thermostat circuit.  </w:t>
      </w:r>
    </w:p>
    <w:p>
      <w:pPr>
        <w:pStyle w:val="Heading1"/>
        <w:spacing w:lineRule="auto" w:line="288" w:before="120" w:after="120"/>
        <w:rPr>
          <w:rFonts w:ascii="Calibri" w:hAnsi="Calibri" w:cs="Calibri"/>
          <w:b/>
          <w:b/>
        </w:rPr>
      </w:pPr>
      <w:r>
        <w:rPr>
          <w:rFonts w:cs="Calibri" w:ascii="Calibri" w:hAnsi="Calibri"/>
          <w:b/>
        </w:rPr>
        <w:t xml:space="preserve">Section 5 – Spill and Accident Procedures </w:t>
      </w:r>
    </w:p>
    <w:p>
      <w:pPr>
        <w:pStyle w:val="Header"/>
        <w:tabs>
          <w:tab w:val="left" w:pos="432" w:leader="none"/>
          <w:tab w:val="left" w:pos="720" w:leader="none"/>
          <w:tab w:val="center" w:pos="4680" w:leader="none"/>
          <w:tab w:val="right" w:pos="9360" w:leader="none"/>
        </w:tabs>
        <w:spacing w:lineRule="auto" w:line="288" w:before="120" w:after="120"/>
        <w:rPr>
          <w:rFonts w:cs="Arial"/>
          <w:sz w:val="20"/>
          <w:szCs w:val="20"/>
        </w:rPr>
      </w:pPr>
      <w:r>
        <w:rPr>
          <w:rFonts w:cs="Arial"/>
          <w:sz w:val="20"/>
          <w:szCs w:val="20"/>
        </w:rPr>
        <w:t xml:space="preserve">If skin is exposed, remove contaminated clothing, wash with soap and water. If eye is exposed, call 911 as soon as possible and flush eyes for 15 minutes in the eye wash. </w:t>
      </w:r>
    </w:p>
    <w:p>
      <w:pPr>
        <w:pStyle w:val="Header"/>
        <w:tabs>
          <w:tab w:val="left" w:pos="432" w:leader="none"/>
          <w:tab w:val="left" w:pos="720" w:leader="none"/>
          <w:tab w:val="center" w:pos="4680" w:leader="none"/>
          <w:tab w:val="right" w:pos="9360" w:leader="none"/>
        </w:tabs>
        <w:spacing w:lineRule="auto" w:line="288" w:before="120" w:after="120"/>
        <w:rPr>
          <w:rFonts w:cs="Arial"/>
          <w:sz w:val="20"/>
          <w:szCs w:val="20"/>
        </w:rPr>
      </w:pPr>
      <w:r>
        <w:rPr>
          <w:rFonts w:cs="Calibri" w:cstheme="minorHAnsi"/>
          <w:color w:val="222222"/>
          <w:sz w:val="20"/>
          <w:szCs w:val="20"/>
        </w:rPr>
        <w:t xml:space="preserve">Immediately evacuate area </w:t>
      </w:r>
      <w:r>
        <w:rPr>
          <w:rFonts w:cs="Arial"/>
          <w:sz w:val="20"/>
          <w:szCs w:val="20"/>
        </w:rPr>
        <w:t>if fumes present a serious health risk</w:t>
      </w:r>
      <w:r>
        <w:rPr>
          <w:rFonts w:cs="Calibri" w:cstheme="minorHAnsi"/>
          <w:color w:val="222222"/>
          <w:sz w:val="20"/>
          <w:szCs w:val="20"/>
        </w:rPr>
        <w:t xml:space="preserve"> and ensure others are aware of the spill. </w:t>
      </w:r>
      <w:r>
        <w:rPr>
          <w:rFonts w:cs="Calibri" w:cstheme="minorHAnsi"/>
          <w:sz w:val="20"/>
          <w:szCs w:val="20"/>
        </w:rPr>
        <w:t>During normal business hours (Monday – Friday, 8 AM – 5 PM)</w:t>
      </w:r>
      <w:r>
        <w:rPr>
          <w:rFonts w:cs="Arial"/>
          <w:sz w:val="20"/>
          <w:szCs w:val="20"/>
        </w:rPr>
        <w:t xml:space="preserve">, call EH&amp;S at 206.543.0467 for further assistance. If it is after hours, call 911 for further assistance. </w:t>
      </w:r>
      <w:r>
        <w:rPr>
          <w:rFonts w:cs="Calibri" w:cstheme="minorHAnsi"/>
          <w:color w:val="222222"/>
          <w:sz w:val="20"/>
          <w:szCs w:val="20"/>
        </w:rPr>
        <w:t xml:space="preserve">If there is an imminent threat of a fire, pull the nearest fire alarm station to evacuate the building and </w:t>
      </w:r>
      <w:r>
        <w:rPr>
          <w:rFonts w:cs="Calibri" w:cstheme="minorHAnsi"/>
          <w:b/>
          <w:sz w:val="20"/>
          <w:szCs w:val="20"/>
        </w:rPr>
        <w:t xml:space="preserve">dial </w:t>
      </w:r>
      <w:r>
        <w:rPr>
          <w:rFonts w:cs="Calibri" w:cstheme="minorHAnsi"/>
          <w:b/>
          <w:color w:val="FF0000"/>
          <w:sz w:val="20"/>
          <w:szCs w:val="20"/>
        </w:rPr>
        <w:t>911.</w:t>
      </w:r>
      <w:r>
        <w:rPr>
          <w:rFonts w:cs="Arial"/>
          <w:sz w:val="20"/>
          <w:szCs w:val="20"/>
        </w:rPr>
        <w:t xml:space="preserve"> If it is safe to clean up the spill, wear PPE listed above. Double bag and securely fasten spill materials. Label as hazardous waste. Label bags as hazardous waste. </w:t>
      </w:r>
    </w:p>
    <w:p>
      <w:pPr>
        <w:pStyle w:val="Header"/>
        <w:tabs>
          <w:tab w:val="left" w:pos="432" w:leader="none"/>
          <w:tab w:val="left" w:pos="720" w:leader="none"/>
          <w:tab w:val="center" w:pos="4680" w:leader="none"/>
          <w:tab w:val="right" w:pos="9360" w:leader="none"/>
        </w:tabs>
        <w:spacing w:lineRule="auto" w:line="288" w:before="120" w:after="120"/>
        <w:rPr>
          <w:rFonts w:cs="Arial"/>
          <w:sz w:val="20"/>
          <w:szCs w:val="20"/>
        </w:rPr>
      </w:pPr>
      <w:r>
        <w:rPr>
          <w:rFonts w:cs="Arial"/>
          <w:sz w:val="20"/>
          <w:szCs w:val="20"/>
        </w:rPr>
        <w:t>Report the spill via the EH&amp;S Online Accident Reporting System (OARS).</w:t>
      </w:r>
    </w:p>
    <w:p>
      <w:pPr>
        <w:pStyle w:val="Heading1"/>
        <w:rPr>
          <w:rFonts w:ascii="Calibri" w:hAnsi="Calibri" w:cs="Calibri"/>
          <w:b/>
          <w:b/>
        </w:rPr>
      </w:pPr>
      <w:r>
        <w:rPr>
          <w:rFonts w:cs="Calibri" w:ascii="Calibri" w:hAnsi="Calibri"/>
          <w:b/>
        </w:rPr>
        <w:t>Section 6 – Waste Disposal Procedures</w:t>
      </w:r>
    </w:p>
    <w:p>
      <w:pPr>
        <w:pStyle w:val="Normal"/>
        <w:spacing w:lineRule="auto" w:line="288" w:before="120" w:after="120"/>
        <w:rPr>
          <w:rFonts w:cs="Calibri" w:cstheme="minorHAnsi"/>
          <w:sz w:val="20"/>
          <w:szCs w:val="20"/>
        </w:rPr>
      </w:pPr>
      <w:r>
        <w:rPr>
          <w:rFonts w:cs="Calibri" w:cstheme="minorHAnsi"/>
          <w:sz w:val="20"/>
          <w:szCs w:val="20"/>
        </w:rPr>
        <w:t xml:space="preserve">Store hazardous waste in closed containers that are properly labeled, and in a designated area (flammable cabinet is recommended). Flammable and combustible liquid waste should be segregated from all incompatibles such as oxidizers. No flammable or combustible liquids (including alcohols) are permitted to be poured down the drain.  </w:t>
      </w:r>
      <w:r>
        <w:rPr>
          <w:rFonts w:cs="Arial"/>
          <w:sz w:val="20"/>
          <w:szCs w:val="20"/>
        </w:rPr>
        <w:t xml:space="preserve">Request chemical waste collection via the EH&amp;S website.  </w:t>
      </w:r>
    </w:p>
    <w:p>
      <w:pPr>
        <w:pStyle w:val="Heading1"/>
        <w:rPr>
          <w:rFonts w:ascii="Calibri" w:hAnsi="Calibri" w:cs="Calibri"/>
          <w:b/>
          <w:b/>
        </w:rPr>
      </w:pPr>
      <w:r>
        <w:rPr>
          <w:rFonts w:cs="Calibri" w:ascii="Calibri" w:hAnsi="Calibri"/>
          <w:b/>
        </w:rPr>
        <w:t xml:space="preserve">Section 7 – Protocol </w:t>
      </w:r>
    </w:p>
    <w:p>
      <w:pPr>
        <w:pStyle w:val="Normal"/>
        <w:spacing w:lineRule="auto" w:line="288" w:before="120" w:after="120"/>
        <w:rPr>
          <w:rFonts w:cs="Calibri" w:cstheme="minorHAnsi"/>
          <w:b/>
          <w:b/>
        </w:rPr>
      </w:pPr>
      <w:sdt>
        <w:sdtPr>
          <w:id w:val="2066347424"/>
        </w:sdtPr>
        <w:sdtContent>
          <w:r>
            <w:rPr/>
            <w:t>Click here to enter text.</w:t>
          </w:r>
        </w:sdtContent>
      </w:sdt>
    </w:p>
    <w:p>
      <w:pPr>
        <w:pStyle w:val="Normal"/>
        <w:tabs>
          <w:tab w:val="clear" w:pos="720"/>
          <w:tab w:val="center" w:pos="4680" w:leader="none"/>
        </w:tabs>
        <w:spacing w:lineRule="auto" w:line="288" w:before="120" w:after="120"/>
        <w:rPr>
          <w:rFonts w:cs="Calibri" w:cstheme="minorHAnsi"/>
          <w:sz w:val="20"/>
          <w:szCs w:val="20"/>
        </w:rPr>
      </w:pPr>
      <w:r>
        <w:rPr>
          <w:rFonts w:cs="Calibri" w:cstheme="minorHAnsi"/>
          <w:b/>
          <w:color w:val="FF0000"/>
          <w:sz w:val="20"/>
          <w:szCs w:val="20"/>
        </w:rPr>
        <w:t>NOTE</w:t>
      </w:r>
      <w:r>
        <w:rPr>
          <w:rFonts w:cs="Calibri" w:cstheme="minorHAnsi"/>
          <w:b/>
          <w:color w:val="FF0000"/>
          <w:sz w:val="20"/>
          <w:szCs w:val="20"/>
        </w:rPr>
        <w:t>:</w:t>
      </w:r>
      <w:r>
        <w:rPr>
          <w:rFonts w:cs="Calibri" w:cstheme="minorHAnsi"/>
          <w:sz w:val="20"/>
          <w:szCs w:val="20"/>
        </w:rPr>
        <w:t xml:space="preserve"> Any deviation from this SOP requires approval from Principal Investigator.</w:t>
        <w:tab/>
      </w:r>
    </w:p>
    <w:p>
      <w:pPr>
        <w:pStyle w:val="Heading1"/>
        <w:rPr>
          <w:rFonts w:ascii="Calibri" w:hAnsi="Calibri" w:cs="Calibri"/>
          <w:b/>
          <w:b/>
        </w:rPr>
      </w:pPr>
      <w:r>
        <w:rPr>
          <w:rFonts w:cs="Calibri" w:ascii="Calibri" w:hAnsi="Calibri"/>
          <w:b/>
        </w:rPr>
        <w:t>Section 8 – Documentation of Training</w:t>
      </w:r>
    </w:p>
    <w:p>
      <w:pPr>
        <w:pStyle w:val="Normal"/>
        <w:spacing w:lineRule="auto" w:line="288" w:before="120" w:after="120"/>
        <w:rPr>
          <w:rFonts w:cs="Calibri" w:cstheme="minorHAnsi"/>
          <w:sz w:val="20"/>
          <w:szCs w:val="20"/>
        </w:rPr>
      </w:pPr>
      <w:r>
        <w:rPr>
          <w:rFonts w:cs="Calibri" w:cstheme="minorHAnsi"/>
          <w:sz w:val="20"/>
          <w:szCs w:val="20"/>
        </w:rPr>
        <w:t xml:space="preserve">Prior to conducting any work with </w:t>
      </w:r>
      <w:r>
        <w:rPr>
          <w:rFonts w:cs="Calibri" w:cstheme="minorHAnsi"/>
          <w:color w:val="222222"/>
          <w:sz w:val="20"/>
          <w:szCs w:val="20"/>
        </w:rPr>
        <w:t>flammable liquids</w:t>
      </w:r>
      <w:r>
        <w:rPr>
          <w:rFonts w:cs="Calibri" w:cstheme="minorHAnsi"/>
          <w:sz w:val="20"/>
          <w:szCs w:val="20"/>
        </w:rPr>
        <w:t xml:space="preserve">, the Principal Investigator must ensure that all laboratory personnel receive training on the content of this SOP. </w:t>
      </w:r>
    </w:p>
    <w:p>
      <w:pPr>
        <w:pStyle w:val="Normal"/>
        <w:spacing w:lineRule="auto" w:line="288" w:before="120" w:after="120"/>
        <w:rPr>
          <w:rFonts w:cs="Calibri" w:cstheme="minorHAnsi"/>
          <w:b/>
          <w:b/>
          <w:sz w:val="20"/>
          <w:szCs w:val="20"/>
        </w:rPr>
      </w:pPr>
      <w:r>
        <w:rPr>
          <w:rFonts w:cs="Calibri" w:cstheme="minorHAnsi"/>
          <w:b/>
          <w:sz w:val="20"/>
          <w:szCs w:val="20"/>
        </w:rPr>
      </w:r>
    </w:p>
    <w:p>
      <w:pPr>
        <w:pStyle w:val="Normal"/>
        <w:spacing w:lineRule="auto" w:line="288" w:before="120" w:after="120"/>
        <w:rPr>
          <w:rFonts w:cs="Calibri" w:cstheme="minorHAnsi"/>
          <w:b/>
          <w:b/>
          <w:sz w:val="20"/>
          <w:szCs w:val="20"/>
        </w:rPr>
      </w:pPr>
      <w:r>
        <w:rPr>
          <w:rFonts w:cs="Calibri" w:cstheme="minorHAnsi"/>
          <w:b/>
          <w:sz w:val="20"/>
          <w:szCs w:val="20"/>
        </w:rPr>
      </w:r>
    </w:p>
    <w:p>
      <w:pPr>
        <w:pStyle w:val="Normal"/>
        <w:spacing w:lineRule="auto" w:line="288" w:before="120" w:after="120"/>
        <w:rPr>
          <w:rFonts w:cs="Calibri" w:cstheme="minorHAnsi"/>
          <w:b/>
          <w:b/>
          <w:sz w:val="20"/>
          <w:szCs w:val="20"/>
        </w:rPr>
      </w:pPr>
      <w:r>
        <w:rPr>
          <w:rFonts w:cs="Calibri" w:cstheme="minorHAnsi"/>
          <w:b/>
          <w:sz w:val="20"/>
          <w:szCs w:val="20"/>
        </w:rPr>
      </w:r>
    </w:p>
    <w:p>
      <w:pPr>
        <w:pStyle w:val="Normal"/>
        <w:spacing w:lineRule="auto" w:line="288" w:before="120" w:after="120"/>
        <w:rPr>
          <w:rFonts w:cs="Calibri" w:cstheme="minorHAnsi"/>
          <w:b/>
          <w:b/>
          <w:sz w:val="20"/>
          <w:szCs w:val="20"/>
        </w:rPr>
      </w:pPr>
      <w:r>
        <w:rPr>
          <w:rFonts w:cs="Calibri" w:cstheme="minorHAnsi"/>
          <w:b/>
          <w:sz w:val="20"/>
          <w:szCs w:val="20"/>
        </w:rPr>
        <w:t>I have read and understand the content of this SOP: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74"/>
        <w:gridCol w:w="3346"/>
        <w:gridCol w:w="2130"/>
      </w:tblGrid>
      <w:tr>
        <w:trPr>
          <w:tblHeader w:val="true"/>
          <w:trHeight w:val="576" w:hRule="atLeast"/>
        </w:trPr>
        <w:tc>
          <w:tcPr>
            <w:tcW w:w="3874"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Name</w:t>
            </w:r>
          </w:p>
        </w:tc>
        <w:tc>
          <w:tcPr>
            <w:tcW w:w="3346"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Signature</w:t>
            </w:r>
          </w:p>
        </w:tc>
        <w:tc>
          <w:tcPr>
            <w:tcW w:w="2130"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Date</w:t>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957708606"/>
              </w:sdtPr>
              <w:sdtContent>
                <w:r>
                  <w:rPr>
                    <w:rFonts w:eastAsia="Calibri"/>
                    <w:kern w:val="0"/>
                    <w:sz w:val="22"/>
                    <w:szCs w:val="22"/>
                    <w:lang w:val="en-US" w:eastAsia="en-US" w:bidi="ar-SA"/>
                  </w:rPr>
                  <w:t>Sam White</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sdt>
              <w:sdtPr>
                <w:date w:fullDate="2024-07-22T00:00:00Z">
                  <w:dateFormat w:val="M/d/yyyy"/>
                  <w:lid w:val="en-US"/>
                  <w:storeMappedDataAs w:val="dateTime"/>
                  <w:calendar w:val="gregorian"/>
                </w:date>
                <w:id w:val="456909069"/>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7/22/2024</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975188825"/>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236287544"/>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896412933"/>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1664220540"/>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76346024"/>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1961730419"/>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064560883"/>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1409068341"/>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201816717"/>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1526463523"/>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804926026"/>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1183255226"/>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234251003"/>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870218713"/>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885004429"/>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1332056328"/>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219566027"/>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154505519"/>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309622451"/>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531587017"/>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sdt>
              <w:sdtPr>
                <w:id w:val="1919699038"/>
              </w:sdtPr>
              <w:sdtContent>
                <w:r>
                  <w:rPr>
                    <w:rFonts w:eastAsia="Calibri"/>
                    <w:kern w:val="0"/>
                    <w:sz w:val="22"/>
                    <w:szCs w:val="22"/>
                    <w:lang w:val="en-US" w:eastAsia="en-US" w:bidi="ar-SA"/>
                  </w:rPr>
                  <w:t>Click here to enter text.</w:t>
                </w:r>
              </w:sdtContent>
            </w:sdt>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w:t>
            </w:r>
            <w:sdt>
              <w:sdtPr>
                <w:date>
                  <w:dateFormat w:val="M/d/yyyy"/>
                  <w:lid w:val="en-US"/>
                  <w:storeMappedDataAs w:val="dateTime"/>
                  <w:calendar w:val="gregorian"/>
                </w:date>
                <w:id w:val="1768189357"/>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lick here to enter a date.</w:t>
                </w:r>
                <w:r>
                  <w:rPr>
                    <w:rStyle w:val="PlaceholderText"/>
                    <w:rFonts w:eastAsia="Calibri" w:cs="Calibri" w:cstheme="minorHAnsi"/>
                    <w:kern w:val="0"/>
                    <w:sz w:val="22"/>
                    <w:szCs w:val="22"/>
                    <w:lang w:val="en-US" w:eastAsia="en-US" w:bidi="ar-SA"/>
                  </w:rPr>
                </w:r>
              </w:sdtContent>
            </w:sdt>
          </w:p>
        </w:tc>
      </w:tr>
    </w:tbl>
    <w:p>
      <w:pPr>
        <w:pStyle w:val="Normal"/>
        <w:spacing w:lineRule="auto" w:line="288" w:before="120" w:after="120"/>
        <w:rPr>
          <w:rFonts w:cs="Calibri" w:cstheme="minorHAnsi"/>
          <w:b/>
          <w:b/>
          <w:sz w:val="24"/>
          <w:szCs w:val="24"/>
        </w:rPr>
      </w:pPr>
      <w:r>
        <w:rPr>
          <w:rFonts w:cs="Calibri" w:cstheme="minorHAnsi"/>
          <w:b/>
          <w:sz w:val="24"/>
          <w:szCs w:val="24"/>
        </w:rPr>
      </w:r>
    </w:p>
    <w:p>
      <w:pPr>
        <w:pStyle w:val="Normal"/>
        <w:spacing w:lineRule="auto" w:line="288" w:before="120" w:after="120"/>
        <w:rPr>
          <w:rFonts w:cs="Calibri" w:cstheme="minorHAnsi"/>
          <w:b/>
          <w:b/>
          <w:sz w:val="24"/>
          <w:szCs w:val="24"/>
        </w:rPr>
      </w:pPr>
      <w:r>
        <w:rPr/>
      </w:r>
    </w:p>
    <w:sectPr>
      <w:headerReference w:type="default" r:id="rId6"/>
      <w:footerReference w:type="default" r:id="rId7"/>
      <w:type w:val="nextPage"/>
      <w:pgSz w:w="12240" w:h="15840"/>
      <w:pgMar w:left="1440" w:right="1440" w:gutter="0" w:header="432" w:top="1440" w:footer="288" w:bottom="1440"/>
      <w:pgBorders w:display="allPages" w:offsetFrom="page">
        <w:top w:val="single" w:sz="18" w:space="19" w:color="000000"/>
        <w:left w:val="single" w:sz="18" w:space="24" w:color="000000"/>
        <w:bottom w:val="single" w:sz="18" w:space="12"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3799395"/>
    </w:sdtPr>
    <w:sdtContent>
      <w:p>
        <w:pPr>
          <w:pStyle w:val="Footer"/>
          <w:rPr>
            <w:rFonts w:eastAsia="Times New Roman" w:cs="Calibri" w:cstheme="minorHAnsi"/>
            <w:color w:val="222222"/>
            <w:sz w:val="20"/>
            <w:szCs w:val="20"/>
            <w:shd w:fill="FFFFFF" w:val="clear"/>
          </w:rPr>
        </w:pPr>
        <w:r>
          <w:rPr>
            <w:rFonts w:cs="Calibri" w:cstheme="minorHAnsi"/>
            <w:sz w:val="18"/>
            <w:szCs w:val="18"/>
          </w:rPr>
          <w:t>Flammable Liquids</w:t>
          <w:tab/>
        </w:r>
        <w:r>
          <w:rPr>
            <w:rFonts w:cs="Calibri" w:cstheme="minorHAnsi"/>
            <w:sz w:val="18"/>
            <w:szCs w:val="18"/>
          </w:rPr>
          <w:fldChar w:fldCharType="begin"/>
        </w:r>
        <w:r>
          <w:rPr>
            <w:sz w:val="18"/>
            <w:szCs w:val="18"/>
            <w:rFonts w:cs="Calibri"/>
          </w:rPr>
          <w:instrText xml:space="preserve"> PAGE </w:instrText>
        </w:r>
        <w:r>
          <w:rPr>
            <w:sz w:val="18"/>
            <w:szCs w:val="18"/>
            <w:rFonts w:cs="Calibri"/>
          </w:rPr>
          <w:fldChar w:fldCharType="separate"/>
        </w:r>
        <w:r>
          <w:rPr>
            <w:sz w:val="18"/>
            <w:szCs w:val="18"/>
            <w:rFonts w:cs="Calibri"/>
          </w:rPr>
          <w:t>2</w:t>
        </w:r>
        <w:r>
          <w:rPr>
            <w:sz w:val="18"/>
            <w:szCs w:val="18"/>
            <w:rFonts w:cs="Calibri"/>
          </w:rPr>
          <w:fldChar w:fldCharType="end"/>
        </w:r>
        <w:r>
          <w:rPr>
            <w:rFonts w:cs="Calibri" w:cstheme="minorHAnsi"/>
            <w:sz w:val="18"/>
            <w:szCs w:val="18"/>
          </w:rPr>
          <w:tab/>
          <w:t xml:space="preserve">Date: </w:t>
        </w:r>
        <w:sdt>
          <w:sdtPr>
            <w:date w:fullDate="2017-10-17T00:00:00Z">
              <w:dateFormat w:val="M/d/yyyy"/>
              <w:lid w:val="en-US"/>
              <w:storeMappedDataAs w:val="dateTime"/>
              <w:calendar w:val="gregorian"/>
            </w:date>
            <w:id w:val="49823524"/>
          </w:sdtPr>
          <w:sdtContent>
            <w:r>
              <w:rPr>
                <w:rFonts w:cs="Calibri" w:cstheme="minorHAnsi"/>
                <w:sz w:val="18"/>
                <w:szCs w:val="18"/>
              </w:rPr>
            </w:r>
            <w:r>
              <w:rPr>
                <w:rFonts w:cs="Calibri" w:cstheme="minorHAnsi"/>
                <w:sz w:val="18"/>
                <w:szCs w:val="18"/>
              </w:rPr>
              <w:t>10/17/2017</w:t>
            </w:r>
            <w:r>
              <w:rPr>
                <w:rFonts w:cs="Calibri" w:cstheme="minorHAnsi"/>
                <w:sz w:val="18"/>
                <w:szCs w:val="18"/>
              </w:rPr>
            </w:r>
          </w:sdtContent>
        </w:sdt>
      </w:p>
      <w:p>
        <w:pPr>
          <w:pStyle w:val="Footer"/>
          <w:rPr>
            <w:rFonts w:ascii="Arial" w:hAnsi="Arial" w:cs="Arial"/>
            <w:sz w:val="18"/>
            <w:szCs w:val="18"/>
          </w:rPr>
        </w:pPr>
        <w:r>
          <w:rPr>
            <w:rFonts w:cs="Arial" w:ascii="Arial" w:hAnsi="Arial"/>
            <w:sz w:val="18"/>
            <w:szCs w:val="18"/>
          </w:rPr>
        </w:r>
      </w:p>
      <w:p>
        <w:pPr>
          <w:pStyle w:val="Footer"/>
          <w:rPr>
            <w:rFonts w:ascii="Arial" w:hAnsi="Arial" w:cs="Arial"/>
            <w:color w:val="A6A6A6" w:themeColor="background1" w:themeShade="a6"/>
            <w:sz w:val="12"/>
            <w:szCs w:val="12"/>
          </w:rPr>
        </w:pPr>
        <w:r>
          <w:rPr>
            <w:rFonts w:cs="Arial" w:ascii="Arial" w:hAnsi="Arial"/>
            <w:color w:val="A6A6A6" w:themeColor="background1" w:themeShade="a6"/>
            <w:sz w:val="12"/>
            <w:szCs w:val="12"/>
          </w:rPr>
          <w:tab/>
          <w:tab/>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1" distT="0" distB="0" distL="114300" distR="114300" simplePos="0" locked="0" layoutInCell="0" allowOverlap="1" relativeHeight="6">
          <wp:simplePos x="0" y="0"/>
          <wp:positionH relativeFrom="column">
            <wp:posOffset>-476250</wp:posOffset>
          </wp:positionH>
          <wp:positionV relativeFrom="paragraph">
            <wp:posOffset>154305</wp:posOffset>
          </wp:positionV>
          <wp:extent cx="3401060" cy="365760"/>
          <wp:effectExtent l="0" t="0" r="0" b="0"/>
          <wp:wrapSquare wrapText="bothSides"/>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06d4"/>
    <w:pPr>
      <w:keepNext w:val="true"/>
      <w:spacing w:lineRule="auto" w:line="240" w:before="0" w:after="0"/>
      <w:outlineLvl w:val="0"/>
    </w:pPr>
    <w:rPr>
      <w:rFonts w:ascii="Times New Roman" w:hAnsi="Times New Roman" w:eastAsia="Times New Roman" w:cs="Times New Roman"/>
      <w:sz w:val="24"/>
      <w:szCs w:val="20"/>
    </w:rPr>
  </w:style>
  <w:style w:type="paragraph" w:styleId="Heading2">
    <w:name w:val="Heading 2"/>
    <w:basedOn w:val="Normal"/>
    <w:next w:val="Normal"/>
    <w:link w:val="Heading2Char"/>
    <w:uiPriority w:val="9"/>
    <w:unhideWhenUsed/>
    <w:qFormat/>
    <w:rsid w:val="00d139d7"/>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50978"/>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qFormat/>
    <w:rsid w:val="00c406d4"/>
    <w:rPr>
      <w:rFonts w:ascii="Times New Roman" w:hAnsi="Times New Roman" w:eastAsia="Times New Roman" w:cs="Times New Roman"/>
      <w:sz w:val="24"/>
      <w:szCs w:val="20"/>
    </w:rPr>
  </w:style>
  <w:style w:type="character" w:styleId="InternetLink">
    <w:name w:val="Hyperlink"/>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uiPriority w:val="99"/>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VisitedInternetLink">
    <w:name w:val="FollowedHyperlink"/>
    <w:basedOn w:val="DefaultParagraphFont"/>
    <w:uiPriority w:val="99"/>
    <w:semiHidden/>
    <w:unhideWhenUsed/>
    <w:rsid w:val="00253494"/>
    <w:rPr>
      <w:color w:val="800080" w:themeColor="followedHyperlink"/>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d139d7"/>
    <w:rPr>
      <w:rFonts w:ascii="Cambria" w:hAnsi="Cambria" w:eastAsia="ＭＳ ゴシック" w:cs="" w:asciiTheme="majorHAnsi" w:cstheme="majorBidi" w:eastAsiaTheme="majorEastAsia" w:hAnsiTheme="majorHAnsi"/>
      <w:b/>
      <w:bCs/>
      <w:color w:val="4F81BD" w:themeColor="accent1"/>
      <w:sz w:val="26"/>
      <w:szCs w:val="26"/>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400866"/>
    <w:rPr>
      <w:rFonts w:ascii="Calibri" w:hAnsi="Calibri" w:eastAsia="MS Mincho" w:cs="Times New Roman"/>
      <w:lang w:eastAsia="ja-JP"/>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5097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qFormat/>
    <w:rsid w:val="00803871"/>
    <w:pPr>
      <w:spacing w:before="0" w:after="200"/>
      <w:ind w:left="720" w:hanging="0"/>
      <w:contextualSpacing/>
    </w:pPr>
    <w:rPr>
      <w:rFonts w:ascii="Calibri" w:hAnsi="Calibri" w:eastAsia="MS Mincho" w:cs="Times New Roman"/>
      <w:lang w:eastAsia="ja-JP"/>
    </w:rPr>
  </w:style>
  <w:style w:type="paragraph" w:styleId="NoSpacing">
    <w:name w:val="No Spacing"/>
    <w:uiPriority w:val="1"/>
    <w:qFormat/>
    <w:rsid w:val="003f564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nhideWhenUsed/>
    <w:qFormat/>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ADF75FD894E618601ABC2F231C65F"/>
        <w:category>
          <w:name w:val="General"/>
          <w:gallery w:val="placeholder"/>
        </w:category>
        <w:types>
          <w:type w:val="bbPlcHdr"/>
        </w:types>
        <w:behaviors>
          <w:behavior w:val="content"/>
        </w:behaviors>
        <w:guid w:val="{538CFE6A-299C-4469-9A2A-BD2B8ACBE5B9}"/>
      </w:docPartPr>
      <w:docPartBody>
        <w:p w:rsidR="00000000" w:rsidRDefault="00A9714B" w:rsidP="00A9714B">
          <w:pPr>
            <w:pStyle w:val="864ADF75FD894E618601ABC2F231C65F"/>
          </w:pPr>
          <w:r w:rsidRPr="000B0719">
            <w:rPr>
              <w:rStyle w:val="PlaceholderText"/>
            </w:rPr>
            <w:t>Click here to enter text.</w:t>
          </w:r>
        </w:p>
      </w:docPartBody>
    </w:docPart>
    <w:docPart>
      <w:docPartPr>
        <w:name w:val="5A27F248BE5D4F6AB7575C9B4A4BDA05"/>
        <w:category>
          <w:name w:val="General"/>
          <w:gallery w:val="placeholder"/>
        </w:category>
        <w:types>
          <w:type w:val="bbPlcHdr"/>
        </w:types>
        <w:behaviors>
          <w:behavior w:val="content"/>
        </w:behaviors>
        <w:guid w:val="{82EACC7A-C3FB-475A-BB18-B712E8EB30A7}"/>
      </w:docPartPr>
      <w:docPartBody>
        <w:p w:rsidR="00000000" w:rsidRDefault="00A9714B" w:rsidP="00A9714B">
          <w:pPr>
            <w:pStyle w:val="5A27F248BE5D4F6AB7575C9B4A4BDA05"/>
          </w:pPr>
          <w:r w:rsidRPr="000B0719">
            <w:rPr>
              <w:rStyle w:val="PlaceholderText"/>
            </w:rPr>
            <w:t>Click here to enter text.</w:t>
          </w:r>
        </w:p>
      </w:docPartBody>
    </w:docPart>
    <w:docPart>
      <w:docPartPr>
        <w:name w:val="6B3188753ED244988FAABD55908BFC2B"/>
        <w:category>
          <w:name w:val="General"/>
          <w:gallery w:val="placeholder"/>
        </w:category>
        <w:types>
          <w:type w:val="bbPlcHdr"/>
        </w:types>
        <w:behaviors>
          <w:behavior w:val="content"/>
        </w:behaviors>
        <w:guid w:val="{C57EE98B-6A6A-49D0-AB5C-C8E2C6032A08}"/>
      </w:docPartPr>
      <w:docPartBody>
        <w:p w:rsidR="00000000" w:rsidRDefault="00A9714B" w:rsidP="00A9714B">
          <w:pPr>
            <w:pStyle w:val="6B3188753ED244988FAABD55908BFC2B"/>
          </w:pPr>
          <w:r w:rsidRPr="000B0719">
            <w:rPr>
              <w:rStyle w:val="PlaceholderText"/>
            </w:rPr>
            <w:t>Click here to enter text.</w:t>
          </w:r>
        </w:p>
      </w:docPartBody>
    </w:docPart>
    <w:docPart>
      <w:docPartPr>
        <w:name w:val="0FD39E85EE1F4D1BB98DF0D0ADB2A410"/>
        <w:category>
          <w:name w:val="General"/>
          <w:gallery w:val="placeholder"/>
        </w:category>
        <w:types>
          <w:type w:val="bbPlcHdr"/>
        </w:types>
        <w:behaviors>
          <w:behavior w:val="content"/>
        </w:behaviors>
        <w:guid w:val="{BBDE8241-C83D-4766-AF46-682022CA48E6}"/>
      </w:docPartPr>
      <w:docPartBody>
        <w:p w:rsidR="00000000" w:rsidRDefault="00A9714B" w:rsidP="00A9714B">
          <w:pPr>
            <w:pStyle w:val="0FD39E85EE1F4D1BB98DF0D0ADB2A410"/>
          </w:pPr>
          <w:r w:rsidRPr="000B0719">
            <w:rPr>
              <w:rStyle w:val="PlaceholderText"/>
            </w:rPr>
            <w:t>Click here to enter a date.</w:t>
          </w:r>
        </w:p>
      </w:docPartBody>
    </w:docPart>
    <w:docPart>
      <w:docPartPr>
        <w:name w:val="915D877FBA6D489E9838769BAE8CFB69"/>
        <w:category>
          <w:name w:val="General"/>
          <w:gallery w:val="placeholder"/>
        </w:category>
        <w:types>
          <w:type w:val="bbPlcHdr"/>
        </w:types>
        <w:behaviors>
          <w:behavior w:val="content"/>
        </w:behaviors>
        <w:guid w:val="{9B4AD1F2-4251-45E2-B160-008695A49FEC}"/>
      </w:docPartPr>
      <w:docPartBody>
        <w:p w:rsidR="00000000" w:rsidRDefault="00A9714B" w:rsidP="00A9714B">
          <w:pPr>
            <w:pStyle w:val="915D877FBA6D489E9838769BAE8CFB69"/>
          </w:pPr>
          <w:r w:rsidRPr="000B0719">
            <w:rPr>
              <w:rStyle w:val="PlaceholderText"/>
            </w:rPr>
            <w:t>Click here to enter a date.</w:t>
          </w:r>
        </w:p>
      </w:docPartBody>
    </w:docPart>
    <w:docPart>
      <w:docPartPr>
        <w:name w:val="AE2879F914E24C738FA37BE45F610177"/>
        <w:category>
          <w:name w:val="General"/>
          <w:gallery w:val="placeholder"/>
        </w:category>
        <w:types>
          <w:type w:val="bbPlcHdr"/>
        </w:types>
        <w:behaviors>
          <w:behavior w:val="content"/>
        </w:behaviors>
        <w:guid w:val="{7C036C2E-86D0-4CCC-864D-37D285AC5422}"/>
      </w:docPartPr>
      <w:docPartBody>
        <w:p w:rsidR="00000000" w:rsidRDefault="00A9714B" w:rsidP="00A9714B">
          <w:pPr>
            <w:pStyle w:val="AE2879F914E24C738FA37BE45F610177"/>
          </w:pPr>
          <w:r w:rsidRPr="000B071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49"/>
    <w:rsid w:val="00007768"/>
    <w:rsid w:val="00015D93"/>
    <w:rsid w:val="000528BF"/>
    <w:rsid w:val="000F542F"/>
    <w:rsid w:val="000F69A7"/>
    <w:rsid w:val="001934E5"/>
    <w:rsid w:val="001B5EBF"/>
    <w:rsid w:val="001D1AD3"/>
    <w:rsid w:val="00260C72"/>
    <w:rsid w:val="0037324B"/>
    <w:rsid w:val="003A5A30"/>
    <w:rsid w:val="004D6545"/>
    <w:rsid w:val="004F1CE5"/>
    <w:rsid w:val="005938EF"/>
    <w:rsid w:val="005A70F7"/>
    <w:rsid w:val="006606EC"/>
    <w:rsid w:val="00664E38"/>
    <w:rsid w:val="00696754"/>
    <w:rsid w:val="006E0705"/>
    <w:rsid w:val="00701618"/>
    <w:rsid w:val="00706935"/>
    <w:rsid w:val="007211E0"/>
    <w:rsid w:val="00792D49"/>
    <w:rsid w:val="007B6AFB"/>
    <w:rsid w:val="007B7C55"/>
    <w:rsid w:val="00820CF8"/>
    <w:rsid w:val="008A650D"/>
    <w:rsid w:val="008B6B37"/>
    <w:rsid w:val="00966BD6"/>
    <w:rsid w:val="00A94EB8"/>
    <w:rsid w:val="00A9714B"/>
    <w:rsid w:val="00AA02E5"/>
    <w:rsid w:val="00B010C8"/>
    <w:rsid w:val="00B014BD"/>
    <w:rsid w:val="00B356E8"/>
    <w:rsid w:val="00B81870"/>
    <w:rsid w:val="00BE172F"/>
    <w:rsid w:val="00BE53EC"/>
    <w:rsid w:val="00C36209"/>
    <w:rsid w:val="00C445ED"/>
    <w:rsid w:val="00CA32D6"/>
    <w:rsid w:val="00D302C9"/>
    <w:rsid w:val="00D7087C"/>
    <w:rsid w:val="00D73B20"/>
    <w:rsid w:val="00D77C07"/>
    <w:rsid w:val="00DF3CCD"/>
    <w:rsid w:val="00DF481B"/>
    <w:rsid w:val="00E44D33"/>
    <w:rsid w:val="00EE384D"/>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4B"/>
  </w:style>
  <w:style w:type="paragraph" w:customStyle="1" w:styleId="3B0049CE242C4F0382CC45CC18C26619">
    <w:name w:val="3B0049CE242C4F0382CC45CC18C26619"/>
  </w:style>
  <w:style w:type="paragraph" w:customStyle="1" w:styleId="4B4AE2607A3245FDB77A75CB3002E153">
    <w:name w:val="4B4AE2607A3245FDB77A75CB3002E153"/>
  </w:style>
  <w:style w:type="paragraph" w:customStyle="1" w:styleId="E3E6BA3BC2624F4383AB08D70D6EE85E">
    <w:name w:val="E3E6BA3BC2624F4383AB08D70D6EE85E"/>
  </w:style>
  <w:style w:type="paragraph" w:customStyle="1" w:styleId="F3498239E3184173A90AD294B0E2DEFC">
    <w:name w:val="F3498239E3184173A90AD294B0E2DEFC"/>
  </w:style>
  <w:style w:type="paragraph" w:customStyle="1" w:styleId="97C941906C38411DA6E9419F1BED31A2">
    <w:name w:val="97C941906C38411DA6E9419F1BED31A2"/>
  </w:style>
  <w:style w:type="paragraph" w:customStyle="1" w:styleId="99262B7B4991435EB35742908E47231E">
    <w:name w:val="99262B7B4991435EB35742908E47231E"/>
  </w:style>
  <w:style w:type="paragraph" w:customStyle="1" w:styleId="03ECFACB4B5A4583A0DD2BB38A1965A6">
    <w:name w:val="03ECFACB4B5A4583A0DD2BB38A1965A6"/>
  </w:style>
  <w:style w:type="paragraph" w:customStyle="1" w:styleId="5391B8181C604922BA7104DD22BC4EF6">
    <w:name w:val="5391B8181C604922BA7104DD22BC4EF6"/>
  </w:style>
  <w:style w:type="paragraph" w:customStyle="1" w:styleId="CFE78C2BEBAF48738F6BEFBCCBB5E2D4">
    <w:name w:val="CFE78C2BEBAF48738F6BEFBCCBB5E2D4"/>
  </w:style>
  <w:style w:type="paragraph" w:customStyle="1" w:styleId="43FF04406142488C9C17DFB599E59D12">
    <w:name w:val="43FF04406142488C9C17DFB599E59D12"/>
  </w:style>
  <w:style w:type="paragraph" w:customStyle="1" w:styleId="2F65EA4513C44682AB713DAE5C7BC165">
    <w:name w:val="2F65EA4513C44682AB713DAE5C7BC165"/>
  </w:style>
  <w:style w:type="paragraph" w:customStyle="1" w:styleId="3F1B5F469FBD4B0CB658191A423D2D8C">
    <w:name w:val="3F1B5F469FBD4B0CB658191A423D2D8C"/>
  </w:style>
  <w:style w:type="paragraph" w:customStyle="1" w:styleId="84F7A69289074C75A99F2E240D7DCC2C">
    <w:name w:val="84F7A69289074C75A99F2E240D7DCC2C"/>
  </w:style>
  <w:style w:type="paragraph" w:customStyle="1" w:styleId="B70A1DB57BAE4FCFB3F49364429C9362">
    <w:name w:val="B70A1DB57BAE4FCFB3F49364429C9362"/>
  </w:style>
  <w:style w:type="paragraph" w:customStyle="1" w:styleId="EF12DEB6EA9F4BFABF90E7ED0A3450F9">
    <w:name w:val="EF12DEB6EA9F4BFABF90E7ED0A3450F9"/>
  </w:style>
  <w:style w:type="paragraph" w:customStyle="1" w:styleId="BCF3246540AE48EEB0ECD15FB07CD603">
    <w:name w:val="BCF3246540AE48EEB0ECD15FB07CD603"/>
  </w:style>
  <w:style w:type="paragraph" w:customStyle="1" w:styleId="52AE15D8448D465E9F5B4CF39A260512">
    <w:name w:val="52AE15D8448D465E9F5B4CF39A260512"/>
  </w:style>
  <w:style w:type="paragraph" w:customStyle="1" w:styleId="3435A2B81E2044F8997A6B0E17429093">
    <w:name w:val="3435A2B81E2044F8997A6B0E17429093"/>
  </w:style>
  <w:style w:type="paragraph" w:customStyle="1" w:styleId="C838F441725342F49EE091145889EC7A">
    <w:name w:val="C838F441725342F49EE091145889EC7A"/>
  </w:style>
  <w:style w:type="paragraph" w:customStyle="1" w:styleId="47A9D169052E4B5586638E1A0510821A">
    <w:name w:val="47A9D169052E4B5586638E1A0510821A"/>
  </w:style>
  <w:style w:type="paragraph" w:customStyle="1" w:styleId="2CF6B0FE04744A528C5F77E8C132E648">
    <w:name w:val="2CF6B0FE04744A528C5F77E8C132E648"/>
  </w:style>
  <w:style w:type="paragraph" w:customStyle="1" w:styleId="CBB81E9F213A404B85E6B68343CA37DD">
    <w:name w:val="CBB81E9F213A404B85E6B68343CA37DD"/>
  </w:style>
  <w:style w:type="paragraph" w:customStyle="1" w:styleId="1414100E074049979A77EADA4F3464BC">
    <w:name w:val="1414100E074049979A77EADA4F3464BC"/>
  </w:style>
  <w:style w:type="paragraph" w:customStyle="1" w:styleId="C1CBBF1ABF8843F6904A0332D426121F">
    <w:name w:val="C1CBBF1ABF8843F6904A0332D426121F"/>
  </w:style>
  <w:style w:type="paragraph" w:customStyle="1" w:styleId="7AA8040B831942F491C6C106F2EDAC4D">
    <w:name w:val="7AA8040B831942F491C6C106F2EDAC4D"/>
  </w:style>
  <w:style w:type="paragraph" w:customStyle="1" w:styleId="31991B02C63F4607AA497BAA73920D4F">
    <w:name w:val="31991B02C63F4607AA497BAA73920D4F"/>
  </w:style>
  <w:style w:type="paragraph" w:customStyle="1" w:styleId="6269C65966AA40A695E8D3D56E8A7755">
    <w:name w:val="6269C65966AA40A695E8D3D56E8A7755"/>
  </w:style>
  <w:style w:type="paragraph" w:customStyle="1" w:styleId="53D1F1CE38A246B1B7157D72907FFD8D">
    <w:name w:val="53D1F1CE38A246B1B7157D72907FFD8D"/>
  </w:style>
  <w:style w:type="paragraph" w:customStyle="1" w:styleId="3878A97CF1C54ACF940B490D6A50D049">
    <w:name w:val="3878A97CF1C54ACF940B490D6A50D049"/>
  </w:style>
  <w:style w:type="paragraph" w:customStyle="1" w:styleId="A03DF336EC974112A6AA787A793B664A">
    <w:name w:val="A03DF336EC974112A6AA787A793B664A"/>
  </w:style>
  <w:style w:type="paragraph" w:customStyle="1" w:styleId="DA3E9CA410444011806DC6AFF54BA71A">
    <w:name w:val="DA3E9CA410444011806DC6AFF54BA71A"/>
  </w:style>
  <w:style w:type="paragraph" w:customStyle="1" w:styleId="3722C88F0ACB4C79A97583F4625A41F1">
    <w:name w:val="3722C88F0ACB4C79A97583F4625A41F1"/>
  </w:style>
  <w:style w:type="paragraph" w:customStyle="1" w:styleId="4CFE0DA5C8F84C7DA0531C80D4631915">
    <w:name w:val="4CFE0DA5C8F84C7DA0531C80D4631915"/>
  </w:style>
  <w:style w:type="paragraph" w:customStyle="1" w:styleId="622D02A2F32C4E5A89486BDF9BF9140E">
    <w:name w:val="622D02A2F32C4E5A89486BDF9BF9140E"/>
  </w:style>
  <w:style w:type="paragraph" w:customStyle="1" w:styleId="24A80E5152A94AB58D4774472BBBF5E4">
    <w:name w:val="24A80E5152A94AB58D4774472BBBF5E4"/>
  </w:style>
  <w:style w:type="paragraph" w:customStyle="1" w:styleId="9AD6888CD2AF4BE880FA216ABBCA73D3">
    <w:name w:val="9AD6888CD2AF4BE880FA216ABBCA73D3"/>
  </w:style>
  <w:style w:type="paragraph" w:customStyle="1" w:styleId="06B574280EC64EED96AF062DD3EAD4B5">
    <w:name w:val="06B574280EC64EED96AF062DD3EAD4B5"/>
  </w:style>
  <w:style w:type="paragraph" w:customStyle="1" w:styleId="86E0D0EC3EC148AB81C44A40FF4B0138">
    <w:name w:val="86E0D0EC3EC148AB81C44A40FF4B0138"/>
  </w:style>
  <w:style w:type="paragraph" w:customStyle="1" w:styleId="A625DB30AA484ADFB3D26AA3CA9005C2">
    <w:name w:val="A625DB30AA484ADFB3D26AA3CA9005C2"/>
  </w:style>
  <w:style w:type="paragraph" w:customStyle="1" w:styleId="076485DD4CA0496482BDEC65FDA76B7C">
    <w:name w:val="076485DD4CA0496482BDEC65FDA76B7C"/>
  </w:style>
  <w:style w:type="paragraph" w:customStyle="1" w:styleId="0AECB6316C354A40B4DA972DB5E32BC6">
    <w:name w:val="0AECB6316C354A40B4DA972DB5E32BC6"/>
  </w:style>
  <w:style w:type="paragraph" w:customStyle="1" w:styleId="B8CAB2E1FE9A4BE5A235EE5F6EAFD0E2">
    <w:name w:val="B8CAB2E1FE9A4BE5A235EE5F6EAFD0E2"/>
  </w:style>
  <w:style w:type="paragraph" w:customStyle="1" w:styleId="67BD2338142B469896BC0737FF1E796A">
    <w:name w:val="67BD2338142B469896BC0737FF1E796A"/>
  </w:style>
  <w:style w:type="paragraph" w:customStyle="1" w:styleId="26F0D3D5EF0340C3B04CF45291DEF143">
    <w:name w:val="26F0D3D5EF0340C3B04CF45291DEF143"/>
  </w:style>
  <w:style w:type="paragraph" w:customStyle="1" w:styleId="E39CF6CEE7244FA49EFF841AB505E394">
    <w:name w:val="E39CF6CEE7244FA49EFF841AB505E394"/>
  </w:style>
  <w:style w:type="paragraph" w:customStyle="1" w:styleId="3503C62396CC4A758F313B83DA9F5431">
    <w:name w:val="3503C62396CC4A758F313B83DA9F5431"/>
  </w:style>
  <w:style w:type="paragraph" w:customStyle="1" w:styleId="DAA80870CF4B43D3BD149C3A6201B570">
    <w:name w:val="DAA80870CF4B43D3BD149C3A6201B570"/>
  </w:style>
  <w:style w:type="paragraph" w:customStyle="1" w:styleId="297C31F6A7044EEBB89EF7A603509205">
    <w:name w:val="297C31F6A7044EEBB89EF7A603509205"/>
    <w:rsid w:val="00E44D33"/>
  </w:style>
  <w:style w:type="paragraph" w:customStyle="1" w:styleId="8740DACF6E0F4E86BF8F031510AA658C">
    <w:name w:val="8740DACF6E0F4E86BF8F031510AA658C"/>
    <w:rsid w:val="00E44D33"/>
  </w:style>
  <w:style w:type="paragraph" w:customStyle="1" w:styleId="7324A5C4FB304F71A3B9230799410193">
    <w:name w:val="7324A5C4FB304F71A3B9230799410193"/>
    <w:rsid w:val="00B010C8"/>
  </w:style>
  <w:style w:type="paragraph" w:customStyle="1" w:styleId="9991EF683C244492A9D3749BE4DD2C45">
    <w:name w:val="9991EF683C244492A9D3749BE4DD2C45"/>
    <w:rsid w:val="00FF7C43"/>
  </w:style>
  <w:style w:type="paragraph" w:customStyle="1" w:styleId="C941973E14D749FCA34A3489839C1414">
    <w:name w:val="C941973E14D749FCA34A3489839C1414"/>
    <w:rsid w:val="00FF7C43"/>
  </w:style>
  <w:style w:type="paragraph" w:customStyle="1" w:styleId="C69064C7C96246F58B9525AC84B900BC">
    <w:name w:val="C69064C7C96246F58B9525AC84B900BC"/>
    <w:rsid w:val="00FF7C43"/>
  </w:style>
  <w:style w:type="paragraph" w:customStyle="1" w:styleId="9041F36D30EF4BC2B73C8B18BBB71867">
    <w:name w:val="9041F36D30EF4BC2B73C8B18BBB71867"/>
    <w:rsid w:val="00FF7C43"/>
  </w:style>
  <w:style w:type="paragraph" w:customStyle="1" w:styleId="588BB9C7CF1B41C599B61986428F8295">
    <w:name w:val="588BB9C7CF1B41C599B61986428F8295"/>
    <w:rsid w:val="00FF7C43"/>
  </w:style>
  <w:style w:type="paragraph" w:customStyle="1" w:styleId="55AB477B92394F0287854DD3A67F48C2">
    <w:name w:val="55AB477B92394F0287854DD3A67F48C2"/>
    <w:rsid w:val="00FF7C43"/>
  </w:style>
  <w:style w:type="paragraph" w:customStyle="1" w:styleId="D1F2DC835FAE40DC97A65B3DB6196DB8">
    <w:name w:val="D1F2DC835FAE40DC97A65B3DB6196DB8"/>
    <w:rsid w:val="00FF7C43"/>
  </w:style>
  <w:style w:type="paragraph" w:customStyle="1" w:styleId="F7FDE4A979A842CD9FE23129C5BA5068">
    <w:name w:val="F7FDE4A979A842CD9FE23129C5BA5068"/>
    <w:rsid w:val="00FF7C43"/>
  </w:style>
  <w:style w:type="paragraph" w:customStyle="1" w:styleId="FFB6504D77634426806C4C1C9F916117">
    <w:name w:val="FFB6504D77634426806C4C1C9F916117"/>
    <w:rsid w:val="00FF7C43"/>
  </w:style>
  <w:style w:type="paragraph" w:customStyle="1" w:styleId="0F72DD324F364D0C890391213647ACB2">
    <w:name w:val="0F72DD324F364D0C890391213647ACB2"/>
    <w:rsid w:val="00FF7C43"/>
  </w:style>
  <w:style w:type="paragraph" w:customStyle="1" w:styleId="9C4F79A6788C4DCBBCEF437CDE6BDC2D">
    <w:name w:val="9C4F79A6788C4DCBBCEF437CDE6BDC2D"/>
    <w:rsid w:val="00FF7C43"/>
  </w:style>
  <w:style w:type="paragraph" w:customStyle="1" w:styleId="89D9442AEB01433E9C7CA7E38EE202FB">
    <w:name w:val="89D9442AEB01433E9C7CA7E38EE202FB"/>
    <w:rsid w:val="00FF7C43"/>
  </w:style>
  <w:style w:type="paragraph" w:customStyle="1" w:styleId="36DD06DBA0EB458B8A289FA9E273F670">
    <w:name w:val="36DD06DBA0EB458B8A289FA9E273F670"/>
    <w:rsid w:val="00FF7C43"/>
  </w:style>
  <w:style w:type="paragraph" w:customStyle="1" w:styleId="7BD9057ABD644017B367915EF06207F0">
    <w:name w:val="7BD9057ABD644017B367915EF06207F0"/>
    <w:rsid w:val="00FF7C43"/>
  </w:style>
  <w:style w:type="paragraph" w:customStyle="1" w:styleId="EFEF6494F61243BCAAC3501B74E048B0">
    <w:name w:val="EFEF6494F61243BCAAC3501B74E048B0"/>
    <w:rsid w:val="00FF7C43"/>
  </w:style>
  <w:style w:type="paragraph" w:customStyle="1" w:styleId="52FEB99D7733445884733DA9D49E0CE8">
    <w:name w:val="52FEB99D7733445884733DA9D49E0CE8"/>
    <w:rsid w:val="00FF7C43"/>
  </w:style>
  <w:style w:type="paragraph" w:customStyle="1" w:styleId="F6A8E000EF9642D6B8BC343F0B50EA1E">
    <w:name w:val="F6A8E000EF9642D6B8BC343F0B50EA1E"/>
    <w:rsid w:val="00FF7C43"/>
  </w:style>
  <w:style w:type="paragraph" w:customStyle="1" w:styleId="9AC4B1A02CB34B869772EE7BBCAB68A8">
    <w:name w:val="9AC4B1A02CB34B869772EE7BBCAB68A8"/>
    <w:rsid w:val="00FF7C43"/>
  </w:style>
  <w:style w:type="paragraph" w:customStyle="1" w:styleId="735070ABF3A047568F89C8404B6F29DC">
    <w:name w:val="735070ABF3A047568F89C8404B6F29DC"/>
    <w:rsid w:val="00FF7C43"/>
  </w:style>
  <w:style w:type="paragraph" w:customStyle="1" w:styleId="A4D59F316796471D9E7243B711C8F9B0">
    <w:name w:val="A4D59F316796471D9E7243B711C8F9B0"/>
    <w:rsid w:val="00FF7C43"/>
  </w:style>
  <w:style w:type="paragraph" w:customStyle="1" w:styleId="F9A37AD15C8F46D08220AF5D369D20FF">
    <w:name w:val="F9A37AD15C8F46D08220AF5D369D20FF"/>
    <w:rsid w:val="00FF7C43"/>
  </w:style>
  <w:style w:type="paragraph" w:customStyle="1" w:styleId="BC184A28D3BC4C70865F49943670E5C9">
    <w:name w:val="BC184A28D3BC4C70865F49943670E5C9"/>
    <w:rsid w:val="00FF7C43"/>
  </w:style>
  <w:style w:type="paragraph" w:customStyle="1" w:styleId="B635DD6AE28E48F0A53BD7B0736B00BE">
    <w:name w:val="B635DD6AE28E48F0A53BD7B0736B00BE"/>
    <w:rsid w:val="00FF7C43"/>
  </w:style>
  <w:style w:type="paragraph" w:customStyle="1" w:styleId="C09174E3082F465DBBF3FC75D9F0ABA8">
    <w:name w:val="C09174E3082F465DBBF3FC75D9F0ABA8"/>
    <w:rsid w:val="00FF7C43"/>
  </w:style>
  <w:style w:type="paragraph" w:customStyle="1" w:styleId="D1DDAEFAD4A14D0B9AAE359C50BE681C">
    <w:name w:val="D1DDAEFAD4A14D0B9AAE359C50BE681C"/>
    <w:rsid w:val="00FF7C43"/>
  </w:style>
  <w:style w:type="paragraph" w:customStyle="1" w:styleId="A04BCFDF98384828A260D955124A642C">
    <w:name w:val="A04BCFDF98384828A260D955124A642C"/>
    <w:rsid w:val="00664E38"/>
  </w:style>
  <w:style w:type="paragraph" w:customStyle="1" w:styleId="E73C37EB9B4B406AB503AA4E62CE3022">
    <w:name w:val="E73C37EB9B4B406AB503AA4E62CE3022"/>
    <w:rsid w:val="000F69A7"/>
  </w:style>
  <w:style w:type="paragraph" w:customStyle="1" w:styleId="450F746A78B74553915A5AC5E2ACC16A">
    <w:name w:val="450F746A78B74553915A5AC5E2ACC16A"/>
    <w:rsid w:val="00BE53EC"/>
  </w:style>
  <w:style w:type="paragraph" w:customStyle="1" w:styleId="A18EE9B3D952409DBCB28236A07CAB0A">
    <w:name w:val="A18EE9B3D952409DBCB28236A07CAB0A"/>
    <w:rsid w:val="00B81870"/>
  </w:style>
  <w:style w:type="paragraph" w:customStyle="1" w:styleId="4883DB167FA53E48B8FF80D9E991B3E8">
    <w:name w:val="4883DB167FA53E48B8FF80D9E991B3E8"/>
    <w:rsid w:val="00A94EB8"/>
    <w:pPr>
      <w:spacing w:after="0" w:line="240" w:lineRule="auto"/>
    </w:pPr>
    <w:rPr>
      <w:sz w:val="24"/>
      <w:szCs w:val="24"/>
      <w:lang w:eastAsia="ja-JP"/>
    </w:rPr>
  </w:style>
  <w:style w:type="paragraph" w:customStyle="1" w:styleId="C883488E6DA7B84BB7E8353FF19E4219">
    <w:name w:val="C883488E6DA7B84BB7E8353FF19E4219"/>
    <w:rsid w:val="00A94EB8"/>
    <w:pPr>
      <w:spacing w:after="0" w:line="240" w:lineRule="auto"/>
    </w:pPr>
    <w:rPr>
      <w:sz w:val="24"/>
      <w:szCs w:val="24"/>
      <w:lang w:eastAsia="ja-JP"/>
    </w:rPr>
  </w:style>
  <w:style w:type="paragraph" w:customStyle="1" w:styleId="2331108CFD0E23439C27C50BCFD5A13E">
    <w:name w:val="2331108CFD0E23439C27C50BCFD5A13E"/>
    <w:rsid w:val="00A94EB8"/>
    <w:pPr>
      <w:spacing w:after="0" w:line="240" w:lineRule="auto"/>
    </w:pPr>
    <w:rPr>
      <w:sz w:val="24"/>
      <w:szCs w:val="24"/>
      <w:lang w:eastAsia="ja-JP"/>
    </w:rPr>
  </w:style>
  <w:style w:type="paragraph" w:customStyle="1" w:styleId="1EE8F9DE53C25B4CAF642D85A1C4E77B">
    <w:name w:val="1EE8F9DE53C25B4CAF642D85A1C4E77B"/>
    <w:rsid w:val="00A94EB8"/>
    <w:pPr>
      <w:spacing w:after="0" w:line="240" w:lineRule="auto"/>
    </w:pPr>
    <w:rPr>
      <w:sz w:val="24"/>
      <w:szCs w:val="24"/>
      <w:lang w:eastAsia="ja-JP"/>
    </w:rPr>
  </w:style>
  <w:style w:type="paragraph" w:customStyle="1" w:styleId="7C6802D45CEABA4FAF3C360F321FF7D0">
    <w:name w:val="7C6802D45CEABA4FAF3C360F321FF7D0"/>
    <w:rsid w:val="00A94EB8"/>
    <w:pPr>
      <w:spacing w:after="0" w:line="240" w:lineRule="auto"/>
    </w:pPr>
    <w:rPr>
      <w:sz w:val="24"/>
      <w:szCs w:val="24"/>
      <w:lang w:eastAsia="ja-JP"/>
    </w:rPr>
  </w:style>
  <w:style w:type="paragraph" w:customStyle="1" w:styleId="83996BB35B367747B6EB4C99D79CFA33">
    <w:name w:val="83996BB35B367747B6EB4C99D79CFA33"/>
    <w:rsid w:val="00A94EB8"/>
    <w:pPr>
      <w:spacing w:after="0" w:line="240" w:lineRule="auto"/>
    </w:pPr>
    <w:rPr>
      <w:sz w:val="24"/>
      <w:szCs w:val="24"/>
      <w:lang w:eastAsia="ja-JP"/>
    </w:rPr>
  </w:style>
  <w:style w:type="paragraph" w:customStyle="1" w:styleId="6D6C374AC5585F498DF919E480494721">
    <w:name w:val="6D6C374AC5585F498DF919E480494721"/>
    <w:rsid w:val="001D1AD3"/>
    <w:pPr>
      <w:spacing w:after="0" w:line="240" w:lineRule="auto"/>
    </w:pPr>
    <w:rPr>
      <w:sz w:val="24"/>
      <w:szCs w:val="24"/>
      <w:lang w:eastAsia="ja-JP"/>
    </w:rPr>
  </w:style>
  <w:style w:type="paragraph" w:customStyle="1" w:styleId="A4B0E57BBE0E1B42AD54DB318E620114">
    <w:name w:val="A4B0E57BBE0E1B42AD54DB318E620114"/>
    <w:rsid w:val="00706935"/>
    <w:pPr>
      <w:spacing w:after="0" w:line="240" w:lineRule="auto"/>
    </w:pPr>
    <w:rPr>
      <w:sz w:val="24"/>
      <w:szCs w:val="24"/>
      <w:lang w:eastAsia="ja-JP"/>
    </w:rPr>
  </w:style>
  <w:style w:type="paragraph" w:customStyle="1" w:styleId="D466CF010E415946909E634F524A436B">
    <w:name w:val="D466CF010E415946909E634F524A436B"/>
    <w:rsid w:val="001934E5"/>
    <w:pPr>
      <w:spacing w:after="0" w:line="240" w:lineRule="auto"/>
    </w:pPr>
    <w:rPr>
      <w:sz w:val="24"/>
      <w:szCs w:val="24"/>
      <w:lang w:eastAsia="ja-JP"/>
    </w:rPr>
  </w:style>
  <w:style w:type="paragraph" w:customStyle="1" w:styleId="E9CEEBD199012B41ABAF2E6F6D6D7DC8">
    <w:name w:val="E9CEEBD199012B41ABAF2E6F6D6D7DC8"/>
    <w:rsid w:val="00D77C07"/>
    <w:pPr>
      <w:spacing w:after="0" w:line="240" w:lineRule="auto"/>
    </w:pPr>
    <w:rPr>
      <w:sz w:val="24"/>
      <w:szCs w:val="24"/>
      <w:lang w:eastAsia="ja-JP"/>
    </w:rPr>
  </w:style>
  <w:style w:type="paragraph" w:customStyle="1" w:styleId="D5C426A82427064BBDBCDA2E70D29719">
    <w:name w:val="D5C426A82427064BBDBCDA2E70D29719"/>
    <w:rsid w:val="00D77C07"/>
    <w:pPr>
      <w:spacing w:after="0" w:line="240" w:lineRule="auto"/>
    </w:pPr>
    <w:rPr>
      <w:sz w:val="24"/>
      <w:szCs w:val="24"/>
      <w:lang w:eastAsia="ja-JP"/>
    </w:rPr>
  </w:style>
  <w:style w:type="paragraph" w:customStyle="1" w:styleId="7040086D01C23F41A9EC88195F9760E9">
    <w:name w:val="7040086D01C23F41A9EC88195F9760E9"/>
    <w:rsid w:val="00AA02E5"/>
    <w:pPr>
      <w:spacing w:after="0" w:line="240" w:lineRule="auto"/>
    </w:pPr>
    <w:rPr>
      <w:sz w:val="24"/>
      <w:szCs w:val="24"/>
      <w:lang w:eastAsia="ja-JP"/>
    </w:rPr>
  </w:style>
  <w:style w:type="paragraph" w:customStyle="1" w:styleId="22EA1DAA85C55B42BF15FF80171AB6C8">
    <w:name w:val="22EA1DAA85C55B42BF15FF80171AB6C8"/>
    <w:rsid w:val="00AA02E5"/>
    <w:pPr>
      <w:spacing w:after="0" w:line="240" w:lineRule="auto"/>
    </w:pPr>
    <w:rPr>
      <w:sz w:val="24"/>
      <w:szCs w:val="24"/>
      <w:lang w:eastAsia="ja-JP"/>
    </w:rPr>
  </w:style>
  <w:style w:type="paragraph" w:customStyle="1" w:styleId="BE0C0C43631A451C988961801BC33E67">
    <w:name w:val="BE0C0C43631A451C988961801BC33E67"/>
    <w:rsid w:val="004D6545"/>
  </w:style>
  <w:style w:type="paragraph" w:customStyle="1" w:styleId="EB14FB2AA0B049CD81344B3720594CCD">
    <w:name w:val="EB14FB2AA0B049CD81344B3720594CCD"/>
    <w:rsid w:val="00C36209"/>
  </w:style>
  <w:style w:type="paragraph" w:customStyle="1" w:styleId="380F67F9248742A98C09389819049C3A">
    <w:name w:val="380F67F9248742A98C09389819049C3A"/>
    <w:rsid w:val="00C36209"/>
  </w:style>
  <w:style w:type="paragraph" w:customStyle="1" w:styleId="F906E7890FD14DF4ABF839182245B0CA">
    <w:name w:val="F906E7890FD14DF4ABF839182245B0CA"/>
    <w:rsid w:val="00C36209"/>
  </w:style>
  <w:style w:type="paragraph" w:customStyle="1" w:styleId="361B97BDBE0A47E99777226C317B8C79">
    <w:name w:val="361B97BDBE0A47E99777226C317B8C79"/>
    <w:rsid w:val="00C36209"/>
  </w:style>
  <w:style w:type="paragraph" w:customStyle="1" w:styleId="D2F0F37E025047DCB3F2507E0E1BDBE6">
    <w:name w:val="D2F0F37E025047DCB3F2507E0E1BDBE6"/>
    <w:rsid w:val="007B7C55"/>
  </w:style>
  <w:style w:type="paragraph" w:customStyle="1" w:styleId="0610FBFD85FA4594A696F18B42D1B123">
    <w:name w:val="0610FBFD85FA4594A696F18B42D1B123"/>
    <w:rsid w:val="007B7C55"/>
  </w:style>
  <w:style w:type="paragraph" w:customStyle="1" w:styleId="A12B94E6E156492BAC47E0DE647AAD1C">
    <w:name w:val="A12B94E6E156492BAC47E0DE647AAD1C"/>
    <w:rsid w:val="007B7C55"/>
  </w:style>
  <w:style w:type="paragraph" w:customStyle="1" w:styleId="513B50938CCE4BB5A421C7E83395D6D4">
    <w:name w:val="513B50938CCE4BB5A421C7E83395D6D4"/>
    <w:rsid w:val="008B6B37"/>
  </w:style>
  <w:style w:type="paragraph" w:customStyle="1" w:styleId="B38FE3A365CD4FE9AB5488BAAE713C15">
    <w:name w:val="B38FE3A365CD4FE9AB5488BAAE713C15"/>
    <w:rsid w:val="008B6B37"/>
  </w:style>
  <w:style w:type="paragraph" w:customStyle="1" w:styleId="D2203111B0E54E70B6339A24D3EB7F79">
    <w:name w:val="D2203111B0E54E70B6339A24D3EB7F79"/>
    <w:rsid w:val="008B6B37"/>
  </w:style>
  <w:style w:type="paragraph" w:customStyle="1" w:styleId="05DB3CCF9ADE417A8CB5D9F732DE39B4">
    <w:name w:val="05DB3CCF9ADE417A8CB5D9F732DE39B4"/>
    <w:rsid w:val="008B6B37"/>
  </w:style>
  <w:style w:type="paragraph" w:customStyle="1" w:styleId="864ADF75FD894E618601ABC2F231C65F">
    <w:name w:val="864ADF75FD894E618601ABC2F231C65F"/>
    <w:rsid w:val="00A9714B"/>
    <w:pPr>
      <w:spacing w:after="160" w:line="259" w:lineRule="auto"/>
    </w:pPr>
  </w:style>
  <w:style w:type="paragraph" w:customStyle="1" w:styleId="5A27F248BE5D4F6AB7575C9B4A4BDA05">
    <w:name w:val="5A27F248BE5D4F6AB7575C9B4A4BDA05"/>
    <w:rsid w:val="00A9714B"/>
    <w:pPr>
      <w:spacing w:after="160" w:line="259" w:lineRule="auto"/>
    </w:pPr>
  </w:style>
  <w:style w:type="paragraph" w:customStyle="1" w:styleId="6B3188753ED244988FAABD55908BFC2B">
    <w:name w:val="6B3188753ED244988FAABD55908BFC2B"/>
    <w:rsid w:val="00A9714B"/>
    <w:pPr>
      <w:spacing w:after="160" w:line="259" w:lineRule="auto"/>
    </w:pPr>
  </w:style>
  <w:style w:type="paragraph" w:customStyle="1" w:styleId="0FD39E85EE1F4D1BB98DF0D0ADB2A410">
    <w:name w:val="0FD39E85EE1F4D1BB98DF0D0ADB2A410"/>
    <w:rsid w:val="00A9714B"/>
    <w:pPr>
      <w:spacing w:after="160" w:line="259" w:lineRule="auto"/>
    </w:pPr>
  </w:style>
  <w:style w:type="paragraph" w:customStyle="1" w:styleId="915D877FBA6D489E9838769BAE8CFB69">
    <w:name w:val="915D877FBA6D489E9838769BAE8CFB69"/>
    <w:rsid w:val="00A9714B"/>
    <w:pPr>
      <w:spacing w:after="160" w:line="259" w:lineRule="auto"/>
    </w:pPr>
  </w:style>
  <w:style w:type="paragraph" w:customStyle="1" w:styleId="AE2879F914E24C738FA37BE45F610177">
    <w:name w:val="AE2879F914E24C738FA37BE45F610177"/>
    <w:rsid w:val="00A971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69015-92F4-4B4F-AA55-17CDDF0D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4</Pages>
  <Words>1402</Words>
  <Characters>7318</Characters>
  <CharactersWithSpaces>8622</CharactersWithSpaces>
  <Paragraphs>92</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2017-10-19T21:24:00Z</dcterms:created>
  <dc:creator>Estey Theriault</dc:creator>
  <dc:description/>
  <dc:language>en-US</dc:language>
  <cp:lastModifiedBy/>
  <cp:lastPrinted>2013-01-29T18:52:00Z</cp:lastPrinted>
  <dcterms:modified xsi:type="dcterms:W3CDTF">2024-07-22T13:04:18Z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