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D2B55"/>
          <w:sz w:val="60"/>
        </w:rPr>
        <w:t>ClearDeed</w:t>
      </w:r>
    </w:p>
    <w:p>
      <w:pPr>
        <w:spacing w:after="40"/>
        <w:jc w:val="center"/>
      </w:pPr>
      <w:r>
        <w:rPr>
          <w:i/>
          <w:color w:val="007A8A"/>
          <w:sz w:val="26"/>
        </w:rPr>
        <w:t>Property Due-Diligence Platform — Odisha, India</w:t>
      </w:r>
    </w:p>
    <w:p>
      <w:pPr>
        <w:spacing w:after="360"/>
        <w:jc w:val="center"/>
      </w:pPr>
      <w:r>
        <w:rPr>
          <w:color w:val="808080"/>
          <w:sz w:val="20"/>
        </w:rPr>
        <w:t>Product Overview &amp; Roadmap  ·  May 2026</w:t>
      </w:r>
    </w:p>
    <w:p>
      <w:pPr>
        <w:spacing w:after="280"/>
        <w:pBdr>
          <w:bottom w:val="single" w:sz="12" w:space="1" w:color="0D2B55"/>
        </w:pBdr>
      </w:pPr>
    </w:p>
    <w:p>
      <w:pPr>
        <w:spacing w:before="320" w:after="80"/>
        <w:pBdr>
          <w:bottom w:val="single" w:sz="6" w:space="1" w:color="0D2B55"/>
        </w:pBdr>
      </w:pPr>
      <w:r>
        <w:rPr>
          <w:b/>
          <w:color w:val="0D2B55"/>
          <w:sz w:val="26"/>
        </w:rPr>
        <w:t>WHERE WE ARE RIGHT NOW</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0D2B55"/>
          </w:tcPr>
          <w:p>
            <w:r>
              <w:rPr>
                <w:b/>
                <w:color w:val="FFFFFF"/>
                <w:sz w:val="20"/>
              </w:rPr>
              <w:t>Status</w:t>
            </w:r>
          </w:p>
        </w:tc>
        <w:tc>
          <w:tcPr>
            <w:tcW w:type="dxa" w:w="3118"/>
            <w:shd w:val="clear" w:color="auto" w:fill="0D2B55"/>
          </w:tcPr>
          <w:p>
            <w:r>
              <w:rPr>
                <w:b/>
                <w:color w:val="FFFFFF"/>
                <w:sz w:val="20"/>
              </w:rPr>
              <w:t>Item</w:t>
            </w:r>
          </w:p>
        </w:tc>
        <w:tc>
          <w:tcPr>
            <w:tcW w:type="dxa" w:w="4535"/>
            <w:shd w:val="clear" w:color="auto" w:fill="0D2B55"/>
          </w:tcPr>
          <w:p>
            <w:r>
              <w:rPr>
                <w:b/>
                <w:color w:val="FFFFFF"/>
                <w:sz w:val="20"/>
              </w:rPr>
              <w:t>Detail</w:t>
            </w:r>
          </w:p>
        </w:tc>
      </w:tr>
      <w:tr>
        <w:tc>
          <w:tcPr>
            <w:tcW w:type="dxa" w:w="850"/>
            <w:shd w:val="clear" w:color="auto" w:fill="F0F4F8"/>
          </w:tcPr>
          <w:p>
            <w:r>
              <w:rPr>
                <w:sz w:val="20"/>
              </w:rPr>
              <w:t>✅ LIVE</w:t>
            </w:r>
          </w:p>
        </w:tc>
        <w:tc>
          <w:tcPr>
            <w:tcW w:type="dxa" w:w="3118"/>
            <w:shd w:val="clear" w:color="auto" w:fill="F0F4F8"/>
          </w:tcPr>
          <w:p>
            <w:r>
              <w:rPr>
                <w:sz w:val="20"/>
              </w:rPr>
              <w:t>Demo &amp; Lead Intake</w:t>
            </w:r>
          </w:p>
        </w:tc>
        <w:tc>
          <w:tcPr>
            <w:tcW w:type="dxa" w:w="4535"/>
            <w:shd w:val="clear" w:color="auto" w:fill="F0F4F8"/>
          </w:tcPr>
          <w:p>
            <w:r>
              <w:rPr>
                <w:sz w:val="20"/>
              </w:rPr>
              <w:t>https://v0-cleardeed.vercel.app — running in production</w:t>
            </w:r>
          </w:p>
        </w:tc>
      </w:tr>
      <w:tr>
        <w:tc>
          <w:tcPr>
            <w:tcW w:type="dxa" w:w="850"/>
            <w:shd w:val="clear" w:color="auto" w:fill="FFFFFF"/>
          </w:tcPr>
          <w:p>
            <w:r>
              <w:rPr>
                <w:sz w:val="20"/>
              </w:rPr>
              <w:t>✅ LIVE</w:t>
            </w:r>
          </w:p>
        </w:tc>
        <w:tc>
          <w:tcPr>
            <w:tcW w:type="dxa" w:w="3118"/>
            <w:shd w:val="clear" w:color="auto" w:fill="FFFFFF"/>
          </w:tcPr>
          <w:p>
            <w:r>
              <w:rPr>
                <w:sz w:val="20"/>
              </w:rPr>
              <w:t>3 of 4 data sources</w:t>
            </w:r>
          </w:p>
        </w:tc>
        <w:tc>
          <w:tcPr>
            <w:tcW w:type="dxa" w:w="4535"/>
            <w:shd w:val="clear" w:color="auto" w:fill="FFFFFF"/>
          </w:tcPr>
          <w:p>
            <w:r>
              <w:rPr>
                <w:sz w:val="20"/>
              </w:rPr>
              <w:t>Nominatim, Bhunaksha, Bhulekh — validated against real servers</w:t>
            </w:r>
          </w:p>
        </w:tc>
      </w:tr>
      <w:tr>
        <w:tc>
          <w:tcPr>
            <w:tcW w:type="dxa" w:w="850"/>
            <w:shd w:val="clear" w:color="auto" w:fill="F0F4F8"/>
          </w:tcPr>
          <w:p>
            <w:r>
              <w:rPr>
                <w:sz w:val="20"/>
              </w:rPr>
              <w:t>⚠️ PARTIAL</w:t>
            </w:r>
          </w:p>
        </w:tc>
        <w:tc>
          <w:tcPr>
            <w:tcW w:type="dxa" w:w="3118"/>
            <w:shd w:val="clear" w:color="auto" w:fill="F0F4F8"/>
          </w:tcPr>
          <w:p>
            <w:r>
              <w:rPr>
                <w:sz w:val="20"/>
              </w:rPr>
              <w:t>eCourts</w:t>
            </w:r>
          </w:p>
        </w:tc>
        <w:tc>
          <w:tcPr>
            <w:tcW w:type="dxa" w:w="4535"/>
            <w:shd w:val="clear" w:color="auto" w:fill="F0F4F8"/>
          </w:tcPr>
          <w:p>
            <w:r>
              <w:rPr>
                <w:sz w:val="20"/>
              </w:rPr>
              <w:t>Form + OCR working; captcha accuracy unmeasured</w:t>
            </w:r>
          </w:p>
        </w:tc>
      </w:tr>
      <w:tr>
        <w:tc>
          <w:tcPr>
            <w:tcW w:type="dxa" w:w="850"/>
            <w:shd w:val="clear" w:color="auto" w:fill="FFFFFF"/>
          </w:tcPr>
          <w:p>
            <w:r>
              <w:rPr>
                <w:sz w:val="20"/>
              </w:rPr>
              <w:t>❌ TODO</w:t>
            </w:r>
          </w:p>
        </w:tc>
        <w:tc>
          <w:tcPr>
            <w:tcW w:type="dxa" w:w="3118"/>
            <w:shd w:val="clear" w:color="auto" w:fill="FFFFFF"/>
          </w:tcPr>
          <w:p>
            <w:r>
              <w:rPr>
                <w:sz w:val="20"/>
              </w:rPr>
              <w:t>RCCMS, CERSAI, IGR</w:t>
            </w:r>
          </w:p>
        </w:tc>
        <w:tc>
          <w:tcPr>
            <w:tcW w:type="dxa" w:w="4535"/>
            <w:shd w:val="clear" w:color="auto" w:fill="FFFFFF"/>
          </w:tcPr>
          <w:p>
            <w:r>
              <w:rPr>
                <w:sz w:val="20"/>
              </w:rPr>
              <w:t>Parser/library exists; live fetcher not wired</w:t>
            </w:r>
          </w:p>
        </w:tc>
      </w:tr>
      <w:tr>
        <w:tc>
          <w:tcPr>
            <w:tcW w:type="dxa" w:w="850"/>
            <w:shd w:val="clear" w:color="auto" w:fill="F0F4F8"/>
          </w:tcPr>
          <w:p>
            <w:r>
              <w:rPr>
                <w:sz w:val="20"/>
              </w:rPr>
              <w:t>🔒 BLOCKED</w:t>
            </w:r>
          </w:p>
        </w:tc>
        <w:tc>
          <w:tcPr>
            <w:tcW w:type="dxa" w:w="3118"/>
            <w:shd w:val="clear" w:color="auto" w:fill="F0F4F8"/>
          </w:tcPr>
          <w:p>
            <w:r>
              <w:rPr>
                <w:sz w:val="20"/>
              </w:rPr>
              <w:t>Legal Review</w:t>
            </w:r>
          </w:p>
        </w:tc>
        <w:tc>
          <w:tcPr>
            <w:tcW w:type="dxa" w:w="4535"/>
            <w:shd w:val="clear" w:color="auto" w:fill="F0F4F8"/>
          </w:tcPr>
          <w:p>
            <w:r>
              <w:rPr>
                <w:sz w:val="20"/>
              </w:rPr>
              <w:t>₹50k–₹1.5L budget allocated; needs counsel sign-off</w:t>
            </w:r>
          </w:p>
        </w:tc>
      </w:tr>
      <w:tr>
        <w:tc>
          <w:tcPr>
            <w:tcW w:type="dxa" w:w="850"/>
            <w:shd w:val="clear" w:color="auto" w:fill="FFFFFF"/>
          </w:tcPr>
          <w:p>
            <w:r>
              <w:rPr>
                <w:sz w:val="20"/>
              </w:rPr>
              <w:t>🎯 TARGET</w:t>
            </w:r>
          </w:p>
        </w:tc>
        <w:tc>
          <w:tcPr>
            <w:tcW w:type="dxa" w:w="3118"/>
            <w:shd w:val="clear" w:color="auto" w:fill="FFFFFF"/>
          </w:tcPr>
          <w:p>
            <w:r>
              <w:rPr>
                <w:sz w:val="20"/>
              </w:rPr>
              <w:t>First Paid Report</w:t>
            </w:r>
          </w:p>
        </w:tc>
        <w:tc>
          <w:tcPr>
            <w:tcW w:type="dxa" w:w="4535"/>
            <w:shd w:val="clear" w:color="auto" w:fill="FFFFFF"/>
          </w:tcPr>
          <w:p>
            <w:r>
              <w:rPr>
                <w:sz w:val="20"/>
              </w:rPr>
              <w:t>Within 4 weeks of legal review</w:t>
            </w:r>
          </w:p>
        </w:tc>
      </w:tr>
    </w:tbl>
    <w:p>
      <w:pPr>
        <w:spacing w:after="40"/>
      </w:pPr>
    </w:p>
    <w:p>
      <w:pPr>
        <w:spacing w:before="320" w:after="80"/>
        <w:pBdr>
          <w:bottom w:val="single" w:sz="6" w:space="1" w:color="0D2B55"/>
        </w:pBdr>
      </w:pPr>
      <w:r>
        <w:rPr>
          <w:b/>
          <w:color w:val="0D2B55"/>
          <w:sz w:val="26"/>
        </w:rPr>
        <w:t>1. EXECUTIVE SUMMARY</w:t>
      </w:r>
    </w:p>
    <w:p>
      <w:pPr>
        <w:spacing w:after="200"/>
      </w:pPr>
      <w:r>
        <w:rPr>
          <w:sz w:val="21"/>
        </w:rPr>
        <w:t>ClearDeed is a B2C property due-diligence platform for Odisha land buyers. Given a plot's GPS coordinates and the seller's name, it consolidates public land records, court cases, and registry data into a single structured consumer-friendly report — in minutes instead of days.</w:t>
        <w:br/>
        <w:br/>
        <w:t>The core product is a web report + PDF that answers: Who owns this land? Is it encumbered? Are there any court cases against the seller? Is the land in a restricted zone (PESA, CRZ, forest)? What should I do next?</w:t>
        <w:br/>
        <w:br/>
        <w:t>We currently operate in concierge-launch mode: early users submit a lead via the website, and the founder generates the report manually using the internal pipeline. The technical pipeline is fully built and deployed. The next steps are legal review, domain QA, and wiring in the remaining data sources before opening to self-serve users.</w:t>
      </w:r>
    </w:p>
    <w:p>
      <w:pPr>
        <w:spacing w:before="320" w:after="80"/>
        <w:pBdr>
          <w:bottom w:val="single" w:sz="6" w:space="1" w:color="0D2B55"/>
        </w:pBdr>
      </w:pPr>
      <w:r>
        <w:rPr>
          <w:b/>
          <w:color w:val="0D2B55"/>
          <w:sz w:val="26"/>
        </w:rPr>
        <w:t>2. THE PROBLEM</w:t>
      </w:r>
    </w:p>
    <w:p>
      <w:pPr>
        <w:pStyle w:val="ListBullet"/>
        <w:spacing w:after="40"/>
        <w:ind w:left="283"/>
      </w:pPr>
      <w:r>
        <w:rPr>
          <w:b/>
          <w:color w:val="0D2B55"/>
          <w:sz w:val="21"/>
        </w:rPr>
        <w:t xml:space="preserve">Time burden: </w:t>
      </w:r>
      <w:r>
        <w:rPr>
          <w:sz w:val="21"/>
        </w:rPr>
        <w:t>Land buyers in Odisha spend 5–15 days visiting government offices to verify ownership, encumbrances, and litigation across multiple portals.</w:t>
      </w:r>
    </w:p>
    <w:p>
      <w:pPr>
        <w:pStyle w:val="ListBullet"/>
        <w:spacing w:after="40"/>
        <w:ind w:left="283"/>
      </w:pPr>
      <w:r>
        <w:rPr>
          <w:b/>
          <w:color w:val="0D2B55"/>
          <w:sz w:val="21"/>
        </w:rPr>
        <w:t xml:space="preserve">Portal fragmentation: </w:t>
      </w:r>
      <w:r>
        <w:rPr>
          <w:sz w:val="21"/>
        </w:rPr>
        <w:t>Four separate portals, each requiring separate login, Odia-script navigation, and manual record-keeping: Bhulekh (land records), eCourts (litigation), IGR (encumbrance certificate), and Bhunaksha (cadastral maps).</w:t>
      </w:r>
    </w:p>
    <w:p>
      <w:pPr>
        <w:pStyle w:val="ListBullet"/>
        <w:spacing w:after="40"/>
        <w:ind w:left="283"/>
      </w:pPr>
      <w:r>
        <w:rPr>
          <w:b/>
          <w:color w:val="0D2B55"/>
          <w:sz w:val="21"/>
        </w:rPr>
        <w:t xml:space="preserve">No consolidated output: </w:t>
      </w:r>
      <w:r>
        <w:rPr>
          <w:sz w:val="21"/>
        </w:rPr>
        <w:t>Buyers receive raw government documents in Odia script. They must reconcile discrepancies themselves — and most buyers cannot read Odia.</w:t>
      </w:r>
    </w:p>
    <w:p>
      <w:pPr>
        <w:pStyle w:val="ListBullet"/>
        <w:spacing w:after="40"/>
        <w:ind w:left="283"/>
      </w:pPr>
      <w:r>
        <w:rPr>
          <w:b/>
          <w:color w:val="0D2B55"/>
          <w:sz w:val="21"/>
        </w:rPr>
        <w:t xml:space="preserve">Fraud risk: </w:t>
      </w:r>
      <w:r>
        <w:rPr>
          <w:sz w:val="21"/>
        </w:rPr>
        <w:t>Encumbrances, pending litigation, or prior sales hidden in any one portal can invalidate a transaction. No tool surfaces all risks in one place.</w:t>
      </w:r>
    </w:p>
    <w:p>
      <w:pPr>
        <w:pStyle w:val="ListBullet"/>
        <w:spacing w:after="40"/>
        <w:ind w:left="283"/>
      </w:pPr>
      <w:r>
        <w:rPr>
          <w:b/>
          <w:color w:val="0D2B55"/>
          <w:sz w:val="21"/>
        </w:rPr>
        <w:t xml:space="preserve">No recourse: </w:t>
      </w:r>
      <w:r>
        <w:rPr>
          <w:sz w:val="21"/>
        </w:rPr>
        <w:t>If a buyer discovers a problem after purchase, there is no auditable record of what information was — or was not — available at the time of transaction.</w:t>
      </w:r>
    </w:p>
    <w:p>
      <w:pPr>
        <w:spacing w:after="80"/>
      </w:pPr>
    </w:p>
    <w:p>
      <w:pPr>
        <w:spacing w:before="320" w:after="80"/>
        <w:pBdr>
          <w:bottom w:val="single" w:sz="6" w:space="1" w:color="0D2B55"/>
        </w:pBdr>
      </w:pPr>
      <w:r>
        <w:rPr>
          <w:b/>
          <w:color w:val="0D2B55"/>
          <w:sz w:val="26"/>
        </w:rPr>
        <w:t>3. WHAT CLEARDEED DOES</w:t>
      </w:r>
    </w:p>
    <w:p>
      <w:pPr>
        <w:spacing w:after="80"/>
      </w:pPr>
      <w:r>
        <w:rPr>
          <w:b/>
          <w:color w:val="0D2B55"/>
        </w:rPr>
        <w:t xml:space="preserve">INPUT: </w:t>
      </w:r>
      <w:r>
        <w:t>GPS coordinates of the plot + seller's name (submitted via mobile web form)</w:t>
      </w:r>
    </w:p>
    <w:p>
      <w:pPr>
        <w:spacing w:after="80"/>
      </w:pPr>
      <w:r>
        <w:rPr>
          <w:b/>
          <w:color w:val="0D2B55"/>
        </w:rPr>
        <w:t xml:space="preserve">OUTPUT: </w:t>
      </w:r>
      <w:r>
        <w:t>A structured HTML/PDF report covering:</w:t>
      </w:r>
    </w:p>
    <w:p>
      <w:pPr>
        <w:pStyle w:val="ListBullet"/>
        <w:spacing w:after="40"/>
        <w:ind w:left="283"/>
      </w:pPr>
      <w:r>
        <w:rPr>
          <w:sz w:val="21"/>
        </w:rPr>
        <w:t>Verified ownership — Bhulekh RoR: owner name (Odia + transliteration), Khatiyan number, plot area, land class</w:t>
      </w:r>
    </w:p>
    <w:p>
      <w:pPr>
        <w:pStyle w:val="ListBullet"/>
        <w:spacing w:after="40"/>
        <w:ind w:left="283"/>
      </w:pPr>
      <w:r>
        <w:rPr>
          <w:sz w:val="21"/>
        </w:rPr>
        <w:t>Cadastral map confirmation — Bhunaksha/WFS: plot number, village, boundary polygon, area in sq.m</w:t>
      </w:r>
    </w:p>
    <w:p>
      <w:pPr>
        <w:pStyle w:val="ListBullet"/>
        <w:spacing w:after="40"/>
        <w:ind w:left="283"/>
      </w:pPr>
      <w:r>
        <w:rPr>
          <w:sz w:val="21"/>
        </w:rPr>
        <w:t>Location intelligence — Nominatim/OSM: village, tahasil, district, postcode</w:t>
      </w:r>
    </w:p>
    <w:p>
      <w:pPr>
        <w:pStyle w:val="ListBullet"/>
        <w:spacing w:after="40"/>
        <w:ind w:left="283"/>
      </w:pPr>
      <w:r>
        <w:rPr>
          <w:sz w:val="21"/>
        </w:rPr>
        <w:t>Court case search — eCourts + RCCMS: any active litigation against seller or plot</w:t>
      </w:r>
    </w:p>
    <w:p>
      <w:pPr>
        <w:pStyle w:val="ListBullet"/>
        <w:spacing w:after="40"/>
        <w:ind w:left="283"/>
      </w:pPr>
      <w:r>
        <w:rPr>
          <w:sz w:val="21"/>
        </w:rPr>
        <w:t>Encumbrance certificate — IGR instructions: step-by-step process to obtain EC from Sub-Registrar, including pre-filled URL</w:t>
      </w:r>
    </w:p>
    <w:p>
      <w:pPr>
        <w:pStyle w:val="ListBullet"/>
        <w:spacing w:after="40"/>
        <w:ind w:left="283"/>
      </w:pPr>
      <w:r>
        <w:rPr>
          <w:sz w:val="21"/>
        </w:rPr>
        <w:t>Land classification flags — PESA, CRZ, forest, agricultural-conversion-required with estimated CLU fees</w:t>
      </w:r>
    </w:p>
    <w:p>
      <w:pPr>
        <w:pStyle w:val="ListBullet"/>
        <w:spacing w:after="40"/>
        <w:ind w:left="283"/>
      </w:pPr>
      <w:r>
        <w:rPr>
          <w:sz w:val="21"/>
        </w:rPr>
        <w:t>Regulatory screening — DTCP/BDA zone overlays (Phase 3)</w:t>
      </w:r>
    </w:p>
    <w:p>
      <w:pPr>
        <w:pStyle w:val="ListBullet"/>
        <w:spacing w:after="40"/>
        <w:ind w:left="283"/>
      </w:pPr>
      <w:r>
        <w:rPr>
          <w:sz w:val="21"/>
        </w:rPr>
        <w:t>Action checklist — per-source manual verification steps with source URLs and timestamps</w:t>
      </w:r>
    </w:p>
    <w:p/>
    <w:p>
      <w:pPr>
        <w:spacing w:before="20" w:after="20"/>
        <w:ind w:left="340" w:right="340"/>
        <w:shd w:val="clear" w:color="auto" w:fill="F0F4F8"/>
        <w:pBdr>
          <w:left w:val="single" w:sz="12" w:space="4" w:color="007A8A"/>
        </w:pBdr>
      </w:pPr>
      <w:r>
        <w:rPr>
          <w:b/>
          <w:sz w:val="20"/>
        </w:rPr>
        <w:t>Key Product Decisions:</w:t>
      </w:r>
    </w:p>
    <w:p>
      <w:pPr>
        <w:spacing w:before="20" w:after="20"/>
        <w:ind w:left="340" w:right="340"/>
        <w:shd w:val="clear" w:color="auto" w:fill="F0F4F8"/>
      </w:pPr>
      <w:r>
        <w:rPr>
          <w:b w:val="0"/>
          <w:sz w:val="20"/>
        </w:rPr>
        <w:t>No composite trust score — only factual, source-attributed findings</w:t>
      </w:r>
    </w:p>
    <w:p>
      <w:pPr>
        <w:spacing w:before="20" w:after="20"/>
        <w:ind w:left="340" w:right="340"/>
        <w:shd w:val="clear" w:color="auto" w:fill="F0F4F8"/>
      </w:pPr>
      <w:r>
        <w:rPr>
          <w:b w:val="0"/>
          <w:sz w:val="20"/>
        </w:rPr>
        <w:t>Every field includes source name, fetched timestamp, and status (verified / partial / unavailable)</w:t>
      </w:r>
    </w:p>
    <w:p>
      <w:pPr>
        <w:spacing w:before="20" w:after="20"/>
        <w:ind w:left="340" w:right="340"/>
        <w:shd w:val="clear" w:color="auto" w:fill="F0F4F8"/>
      </w:pPr>
      <w:r>
        <w:rPr>
          <w:b w:val="0"/>
          <w:sz w:val="20"/>
        </w:rPr>
        <w:t>Every report includes a manual-verification checklist per source</w:t>
      </w:r>
    </w:p>
    <w:p>
      <w:pPr>
        <w:spacing w:before="20" w:after="20"/>
        <w:ind w:left="340" w:right="340"/>
        <w:shd w:val="clear" w:color="auto" w:fill="F0F4F8"/>
      </w:pPr>
      <w:r>
        <w:rPr>
          <w:b w:val="0"/>
          <w:sz w:val="20"/>
        </w:rPr>
        <w:t>Mobile-responsive web + downloadable PDF — no native app in V1</w:t>
      </w:r>
    </w:p>
    <w:p>
      <w:pPr>
        <w:spacing w:after="40"/>
      </w:pPr>
    </w:p>
    <w:p>
      <w:pPr>
        <w:spacing w:before="320" w:after="80"/>
        <w:pBdr>
          <w:bottom w:val="single" w:sz="6" w:space="1" w:color="0D2B55"/>
        </w:pBdr>
      </w:pPr>
      <w:r>
        <w:rPr>
          <w:b/>
          <w:color w:val="0D2B55"/>
          <w:sz w:val="26"/>
        </w:rPr>
        <w:t>4. HOW IT WORKS</w:t>
      </w:r>
    </w:p>
    <w:p>
      <w:pPr>
        <w:spacing w:before="80" w:after="40"/>
      </w:pPr>
      <w:r>
        <w:rPr>
          <w:b/>
          <w:color w:val="007A8A"/>
          <w:sz w:val="21"/>
        </w:rPr>
        <w:t xml:space="preserve">Step 1 — User Input: </w:t>
      </w:r>
      <w:r>
        <w:rPr>
          <w:sz w:val="21"/>
        </w:rPr>
        <w:t>Buyer opens the web form, enters GPS coordinates (or marks plot on a map) and the seller's name. No account required.</w:t>
      </w:r>
    </w:p>
    <w:p>
      <w:pPr>
        <w:spacing w:before="80" w:after="40"/>
      </w:pPr>
      <w:r>
        <w:rPr>
          <w:b/>
          <w:color w:val="007A8A"/>
          <w:sz w:val="21"/>
        </w:rPr>
        <w:t xml:space="preserve">Step 2 — Parallel Data Fetch: </w:t>
      </w:r>
      <w:r>
        <w:rPr>
          <w:sz w:val="21"/>
        </w:rPr>
        <w:t>The backend simultaneously queries government portals: Bhulekh, Bhunaksha/GeoServer, eCourts, and Nominatim. Independent sources run in parallel, dependent sources (Bhulekh needs village from Bhunaksha) run after. Results arrive in 10–30 seconds.</w:t>
      </w:r>
    </w:p>
    <w:p>
      <w:pPr>
        <w:spacing w:before="80" w:after="40"/>
      </w:pPr>
      <w:r>
        <w:rPr>
          <w:b/>
          <w:color w:val="007A8A"/>
          <w:sz w:val="21"/>
        </w:rPr>
        <w:t xml:space="preserve">Step 3 — Interpretation Layer: </w:t>
      </w:r>
      <w:r>
        <w:rPr>
          <w:sz w:val="21"/>
        </w:rPr>
        <w:t>An AI/rule engine normalises the raw data: Odia names are transliterated and matched against the seller's claimed name; land class is mapped to Odisha's Kisam categorisation (22 standardised categories); court case parties are extracted; location is validated against administrative boundaries.</w:t>
      </w:r>
    </w:p>
    <w:p>
      <w:pPr>
        <w:spacing w:before="80" w:after="40"/>
      </w:pPr>
      <w:r>
        <w:rPr>
          <w:b/>
          <w:color w:val="007A8A"/>
          <w:sz w:val="21"/>
        </w:rPr>
        <w:t xml:space="preserve">Step 4 — Report Generation: </w:t>
      </w:r>
      <w:r>
        <w:rPr>
          <w:sz w:val="21"/>
        </w:rPr>
        <w:t>A structured report is generated in plain English (with Odia source references), stored in the database, and returned as a shareable web link and PDF.</w:t>
      </w:r>
    </w:p>
    <w:p>
      <w:pPr>
        <w:spacing w:before="80" w:after="40"/>
      </w:pPr>
      <w:r>
        <w:rPr>
          <w:b/>
          <w:color w:val="007A8A"/>
          <w:sz w:val="21"/>
        </w:rPr>
        <w:t xml:space="preserve">Step 5 — Liability Audit: </w:t>
      </w:r>
      <w:r>
        <w:rPr>
          <w:sz w:val="21"/>
        </w:rPr>
        <w:t>Before publication, an OutputAuditor reviews the report for prohibited language (guarantees, safe-to-buy claims, missing disclaimers). Reports that violate the gate are held for review. The report also displays a source audit table so lawyers can see exactly which sources were verified, partial, or unavailable.</w:t>
      </w:r>
    </w:p>
    <w:p/>
    <w:p>
      <w:pPr>
        <w:spacing w:before="320" w:after="80"/>
        <w:pBdr>
          <w:bottom w:val="single" w:sz="6" w:space="1" w:color="0D2B55"/>
        </w:pBdr>
      </w:pPr>
      <w:r>
        <w:rPr>
          <w:b/>
          <w:color w:val="007A8A"/>
          <w:sz w:val="22"/>
        </w:rPr>
        <w:t>DATA SOURCES</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0D2B55"/>
          </w:tcPr>
          <w:p>
            <w:r>
              <w:rPr>
                <w:b/>
                <w:color w:val="FFFFFF"/>
                <w:sz w:val="20"/>
              </w:rPr>
              <w:t>Source</w:t>
            </w:r>
          </w:p>
        </w:tc>
        <w:tc>
          <w:tcPr>
            <w:tcW w:type="dxa" w:w="1984"/>
            <w:shd w:val="clear" w:color="auto" w:fill="0D2B55"/>
          </w:tcPr>
          <w:p>
            <w:r>
              <w:rPr>
                <w:b/>
                <w:color w:val="FFFFFF"/>
                <w:sz w:val="20"/>
              </w:rPr>
              <w:t>Purpose</w:t>
            </w:r>
          </w:p>
        </w:tc>
        <w:tc>
          <w:tcPr>
            <w:tcW w:type="dxa" w:w="5386"/>
            <w:shd w:val="clear" w:color="auto" w:fill="0D2B55"/>
          </w:tcPr>
          <w:p>
            <w:r>
              <w:rPr>
                <w:b/>
                <w:color w:val="FFFFFF"/>
                <w:sz w:val="20"/>
              </w:rPr>
              <w:t>Technical Method</w:t>
            </w:r>
          </w:p>
        </w:tc>
      </w:tr>
      <w:tr>
        <w:tc>
          <w:tcPr>
            <w:tcW w:type="dxa" w:w="1134"/>
            <w:shd w:val="clear" w:color="auto" w:fill="F0F4F8"/>
          </w:tcPr>
          <w:p>
            <w:r>
              <w:rPr>
                <w:sz w:val="20"/>
              </w:rPr>
              <w:t>Bhulekh</w:t>
            </w:r>
          </w:p>
        </w:tc>
        <w:tc>
          <w:tcPr>
            <w:tcW w:type="dxa" w:w="1984"/>
            <w:shd w:val="clear" w:color="auto" w:fill="F0F4F8"/>
          </w:tcPr>
          <w:p>
            <w:r>
              <w:rPr>
                <w:sz w:val="20"/>
              </w:rPr>
              <w:t>Land records (RoR)</w:t>
            </w:r>
          </w:p>
        </w:tc>
        <w:tc>
          <w:tcPr>
            <w:tcW w:type="dxa" w:w="5386"/>
            <w:shd w:val="clear" w:color="auto" w:fill="F0F4F8"/>
          </w:tcPr>
          <w:p>
            <w:r>
              <w:rPr>
                <w:sz w:val="20"/>
              </w:rPr>
              <w:t>Playwright bootstrap + HTTP ASP.NET AJAX postback cascade — bhulekh.ori.nic.in</w:t>
            </w:r>
          </w:p>
        </w:tc>
      </w:tr>
      <w:tr>
        <w:tc>
          <w:tcPr>
            <w:tcW w:type="dxa" w:w="1134"/>
            <w:shd w:val="clear" w:color="auto" w:fill="FFFFFF"/>
          </w:tcPr>
          <w:p>
            <w:r>
              <w:rPr>
                <w:sz w:val="20"/>
              </w:rPr>
              <w:t>Bhunaksha</w:t>
            </w:r>
          </w:p>
        </w:tc>
        <w:tc>
          <w:tcPr>
            <w:tcW w:type="dxa" w:w="1984"/>
            <w:shd w:val="clear" w:color="auto" w:fill="FFFFFF"/>
          </w:tcPr>
          <w:p>
            <w:r>
              <w:rPr>
                <w:sz w:val="20"/>
              </w:rPr>
              <w:t>Cadastral maps</w:t>
            </w:r>
          </w:p>
        </w:tc>
        <w:tc>
          <w:tcPr>
            <w:tcW w:type="dxa" w:w="5386"/>
            <w:shd w:val="clear" w:color="auto" w:fill="FFFFFF"/>
          </w:tcPr>
          <w:p>
            <w:r>
              <w:rPr>
                <w:sz w:val="20"/>
              </w:rPr>
              <w:t>GeoServer WFS point-in-polygon query — mapserver.odisha4kgeo.in</w:t>
            </w:r>
          </w:p>
        </w:tc>
      </w:tr>
      <w:tr>
        <w:tc>
          <w:tcPr>
            <w:tcW w:type="dxa" w:w="1134"/>
            <w:shd w:val="clear" w:color="auto" w:fill="F0F4F8"/>
          </w:tcPr>
          <w:p>
            <w:r>
              <w:rPr>
                <w:sz w:val="20"/>
              </w:rPr>
              <w:t>eCourts</w:t>
            </w:r>
          </w:p>
        </w:tc>
        <w:tc>
          <w:tcPr>
            <w:tcW w:type="dxa" w:w="1984"/>
            <w:shd w:val="clear" w:color="auto" w:fill="F0F4F8"/>
          </w:tcPr>
          <w:p>
            <w:r>
              <w:rPr>
                <w:sz w:val="20"/>
              </w:rPr>
              <w:t>Civil/criminal cases</w:t>
            </w:r>
          </w:p>
        </w:tc>
        <w:tc>
          <w:tcPr>
            <w:tcW w:type="dxa" w:w="5386"/>
            <w:shd w:val="clear" w:color="auto" w:fill="F0F4F8"/>
          </w:tcPr>
          <w:p>
            <w:r>
              <w:rPr>
                <w:sz w:val="20"/>
              </w:rPr>
              <w:t>Playwright + Tesseract.js OCR captcha solve — services.ecourts.gov.in</w:t>
            </w:r>
          </w:p>
        </w:tc>
      </w:tr>
      <w:tr>
        <w:tc>
          <w:tcPr>
            <w:tcW w:type="dxa" w:w="1134"/>
            <w:shd w:val="clear" w:color="auto" w:fill="FFFFFF"/>
          </w:tcPr>
          <w:p>
            <w:r>
              <w:rPr>
                <w:sz w:val="20"/>
              </w:rPr>
              <w:t>RCCMS</w:t>
            </w:r>
          </w:p>
        </w:tc>
        <w:tc>
          <w:tcPr>
            <w:tcW w:type="dxa" w:w="1984"/>
            <w:shd w:val="clear" w:color="auto" w:fill="FFFFFF"/>
          </w:tcPr>
          <w:p>
            <w:r>
              <w:rPr>
                <w:sz w:val="20"/>
              </w:rPr>
              <w:t>Revenue court cases</w:t>
            </w:r>
          </w:p>
        </w:tc>
        <w:tc>
          <w:tcPr>
            <w:tcW w:type="dxa" w:w="5386"/>
            <w:shd w:val="clear" w:color="auto" w:fill="FFFFFF"/>
          </w:tcPr>
          <w:p>
            <w:r>
              <w:rPr>
                <w:sz w:val="20"/>
              </w:rPr>
              <w:t>Parser built; live fetcher pending probe — rccms.ori.nic.in</w:t>
            </w:r>
          </w:p>
        </w:tc>
      </w:tr>
      <w:tr>
        <w:tc>
          <w:tcPr>
            <w:tcW w:type="dxa" w:w="1134"/>
            <w:shd w:val="clear" w:color="auto" w:fill="F0F4F8"/>
          </w:tcPr>
          <w:p>
            <w:r>
              <w:rPr>
                <w:sz w:val="20"/>
              </w:rPr>
              <w:t>Nominatim</w:t>
            </w:r>
          </w:p>
        </w:tc>
        <w:tc>
          <w:tcPr>
            <w:tcW w:type="dxa" w:w="1984"/>
            <w:shd w:val="clear" w:color="auto" w:fill="F0F4F8"/>
          </w:tcPr>
          <w:p>
            <w:r>
              <w:rPr>
                <w:sz w:val="20"/>
              </w:rPr>
              <w:t>Geocoding / location</w:t>
            </w:r>
          </w:p>
        </w:tc>
        <w:tc>
          <w:tcPr>
            <w:tcW w:type="dxa" w:w="5386"/>
            <w:shd w:val="clear" w:color="auto" w:fill="F0F4F8"/>
          </w:tcPr>
          <w:p>
            <w:r>
              <w:rPr>
                <w:sz w:val="20"/>
              </w:rPr>
              <w:t>OSM Nominatim API, no auth required — nominatim.openstreetmap.org</w:t>
            </w:r>
          </w:p>
        </w:tc>
      </w:tr>
      <w:tr>
        <w:tc>
          <w:tcPr>
            <w:tcW w:type="dxa" w:w="1134"/>
            <w:shd w:val="clear" w:color="auto" w:fill="FFFFFF"/>
          </w:tcPr>
          <w:p>
            <w:r>
              <w:rPr>
                <w:sz w:val="20"/>
              </w:rPr>
              <w:t>IGR</w:t>
            </w:r>
          </w:p>
        </w:tc>
        <w:tc>
          <w:tcPr>
            <w:tcW w:type="dxa" w:w="1984"/>
            <w:shd w:val="clear" w:color="auto" w:fill="FFFFFF"/>
          </w:tcPr>
          <w:p>
            <w:r>
              <w:rPr>
                <w:sz w:val="20"/>
              </w:rPr>
              <w:t>Encumbrance certificate</w:t>
            </w:r>
          </w:p>
        </w:tc>
        <w:tc>
          <w:tcPr>
            <w:tcW w:type="dxa" w:w="5386"/>
            <w:shd w:val="clear" w:color="auto" w:fill="FFFFFF"/>
          </w:tcPr>
          <w:p>
            <w:r>
              <w:rPr>
                <w:sz w:val="20"/>
              </w:rPr>
              <w:t>Step-by-step instructions; automated retrieval pending — igr.odisha.nic.in</w:t>
            </w:r>
          </w:p>
        </w:tc>
      </w:tr>
    </w:tbl>
    <w:p>
      <w:pPr>
        <w:spacing w:after="40"/>
      </w:pPr>
    </w:p>
    <w:p>
      <w:pPr>
        <w:spacing w:before="320" w:after="80"/>
        <w:pBdr>
          <w:bottom w:val="single" w:sz="6" w:space="1" w:color="0D2B55"/>
        </w:pBdr>
      </w:pPr>
      <w:r>
        <w:rPr>
          <w:b/>
          <w:color w:val="0D2B55"/>
          <w:sz w:val="26"/>
        </w:rPr>
        <w:t>5. CURRENT STATUS — MAY 2026</w:t>
      </w:r>
    </w:p>
    <w:p>
      <w:pPr>
        <w:spacing w:before="20" w:after="20"/>
        <w:ind w:left="340" w:right="340"/>
        <w:shd w:val="clear" w:color="auto" w:fill="E8F5E9"/>
        <w:pBdr>
          <w:left w:val="single" w:sz="12" w:space="4" w:color="1A7A3C"/>
        </w:pBdr>
      </w:pPr>
      <w:r>
        <w:rPr>
          <w:b/>
          <w:sz w:val="20"/>
        </w:rPr>
        <w:t>Working in production today:</w:t>
      </w:r>
    </w:p>
    <w:p>
      <w:pPr>
        <w:spacing w:before="20" w:after="20"/>
        <w:ind w:left="340" w:right="340"/>
        <w:shd w:val="clear" w:color="auto" w:fill="E8F5E9"/>
      </w:pPr>
      <w:r>
        <w:rPr>
          <w:b w:val="0"/>
          <w:sz w:val="20"/>
        </w:rPr>
        <w:t>https://v0-cleardeed.vercel.app — live demo, lead intake, and report persistence deployed</w:t>
      </w:r>
    </w:p>
    <w:p>
      <w:pPr>
        <w:spacing w:after="40"/>
      </w:pP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0D2B55"/>
          </w:tcPr>
          <w:p>
            <w:r>
              <w:rPr>
                <w:b/>
                <w:color w:val="FFFFFF"/>
                <w:sz w:val="20"/>
              </w:rPr>
              <w:t>Status</w:t>
            </w:r>
          </w:p>
        </w:tc>
        <w:tc>
          <w:tcPr>
            <w:tcW w:type="dxa" w:w="3118"/>
            <w:shd w:val="clear" w:color="auto" w:fill="0D2B55"/>
          </w:tcPr>
          <w:p>
            <w:r>
              <w:rPr>
                <w:b/>
                <w:color w:val="FFFFFF"/>
                <w:sz w:val="20"/>
              </w:rPr>
              <w:t>Feature</w:t>
            </w:r>
          </w:p>
        </w:tc>
        <w:tc>
          <w:tcPr>
            <w:tcW w:type="dxa" w:w="4535"/>
            <w:shd w:val="clear" w:color="auto" w:fill="0D2B55"/>
          </w:tcPr>
          <w:p>
            <w:r>
              <w:rPr>
                <w:b/>
                <w:color w:val="FFFFFF"/>
                <w:sz w:val="20"/>
              </w:rPr>
              <w:t>Detail</w:t>
            </w:r>
          </w:p>
        </w:tc>
      </w:tr>
      <w:tr>
        <w:tc>
          <w:tcPr>
            <w:tcW w:type="dxa" w:w="850"/>
            <w:shd w:val="clear" w:color="auto" w:fill="F0F4F8"/>
          </w:tcPr>
          <w:p>
            <w:r>
              <w:rPr>
                <w:sz w:val="20"/>
              </w:rPr>
              <w:t>✅</w:t>
            </w:r>
          </w:p>
        </w:tc>
        <w:tc>
          <w:tcPr>
            <w:tcW w:type="dxa" w:w="3118"/>
            <w:shd w:val="clear" w:color="auto" w:fill="F0F4F8"/>
          </w:tcPr>
          <w:p>
            <w:r>
              <w:rPr>
                <w:sz w:val="20"/>
              </w:rPr>
              <w:t>Landing page + lead intake</w:t>
            </w:r>
          </w:p>
        </w:tc>
        <w:tc>
          <w:tcPr>
            <w:tcW w:type="dxa" w:w="4535"/>
            <w:shd w:val="clear" w:color="auto" w:fill="F0F4F8"/>
          </w:tcPr>
          <w:p>
            <w:r>
              <w:rPr>
                <w:sz w:val="20"/>
              </w:rPr>
              <w:t>POST /api/leads confirmed 201 on production</w:t>
            </w:r>
          </w:p>
        </w:tc>
      </w:tr>
      <w:tr>
        <w:tc>
          <w:tcPr>
            <w:tcW w:type="dxa" w:w="850"/>
            <w:shd w:val="clear" w:color="auto" w:fill="FFFFFF"/>
          </w:tcPr>
          <w:p>
            <w:r>
              <w:rPr>
                <w:sz w:val="20"/>
              </w:rPr>
              <w:t>✅</w:t>
            </w:r>
          </w:p>
        </w:tc>
        <w:tc>
          <w:tcPr>
            <w:tcW w:type="dxa" w:w="3118"/>
            <w:shd w:val="clear" w:color="auto" w:fill="FFFFFF"/>
          </w:tcPr>
          <w:p>
            <w:r>
              <w:rPr>
                <w:sz w:val="20"/>
              </w:rPr>
              <w:t>Nominatim fetcher</w:t>
            </w:r>
          </w:p>
        </w:tc>
        <w:tc>
          <w:tcPr>
            <w:tcW w:type="dxa" w:w="4535"/>
            <w:shd w:val="clear" w:color="auto" w:fill="FFFFFF"/>
          </w:tcPr>
          <w:p>
            <w:r>
              <w:rPr>
                <w:sz w:val="20"/>
              </w:rPr>
              <w:t>Live-validated: district Chandaka, postcode 752054</w:t>
            </w:r>
          </w:p>
        </w:tc>
      </w:tr>
      <w:tr>
        <w:tc>
          <w:tcPr>
            <w:tcW w:type="dxa" w:w="850"/>
            <w:shd w:val="clear" w:color="auto" w:fill="F0F4F8"/>
          </w:tcPr>
          <w:p>
            <w:r>
              <w:rPr>
                <w:sz w:val="20"/>
              </w:rPr>
              <w:t>✅</w:t>
            </w:r>
          </w:p>
        </w:tc>
        <w:tc>
          <w:tcPr>
            <w:tcW w:type="dxa" w:w="3118"/>
            <w:shd w:val="clear" w:color="auto" w:fill="F0F4F8"/>
          </w:tcPr>
          <w:p>
            <w:r>
              <w:rPr>
                <w:sz w:val="20"/>
              </w:rPr>
              <w:t>Bhunaksha / GeoServer</w:t>
            </w:r>
          </w:p>
        </w:tc>
        <w:tc>
          <w:tcPr>
            <w:tcW w:type="dxa" w:w="4535"/>
            <w:shd w:val="clear" w:color="auto" w:fill="F0F4F8"/>
          </w:tcPr>
          <w:p>
            <w:r>
              <w:rPr>
                <w:sz w:val="20"/>
              </w:rPr>
              <w:t>Live-validated: plot #415, Mendhasala, Bhubaneswar tahasil</w:t>
            </w:r>
          </w:p>
        </w:tc>
      </w:tr>
      <w:tr>
        <w:tc>
          <w:tcPr>
            <w:tcW w:type="dxa" w:w="850"/>
            <w:shd w:val="clear" w:color="auto" w:fill="FFFFFF"/>
          </w:tcPr>
          <w:p>
            <w:r>
              <w:rPr>
                <w:sz w:val="20"/>
              </w:rPr>
              <w:t>✅</w:t>
            </w:r>
          </w:p>
        </w:tc>
        <w:tc>
          <w:tcPr>
            <w:tcW w:type="dxa" w:w="3118"/>
            <w:shd w:val="clear" w:color="auto" w:fill="FFFFFF"/>
          </w:tcPr>
          <w:p>
            <w:r>
              <w:rPr>
                <w:sz w:val="20"/>
              </w:rPr>
              <w:t>Bhulekh land records</w:t>
            </w:r>
          </w:p>
        </w:tc>
        <w:tc>
          <w:tcPr>
            <w:tcW w:type="dxa" w:w="4535"/>
            <w:shd w:val="clear" w:color="auto" w:fill="FFFFFF"/>
          </w:tcPr>
          <w:p>
            <w:r>
              <w:rPr>
                <w:sz w:val="20"/>
              </w:rPr>
              <w:t>Live-validated: RoR with 5 tenants, 75.6 acres, Khatiyan 94</w:t>
            </w:r>
          </w:p>
        </w:tc>
      </w:tr>
      <w:tr>
        <w:tc>
          <w:tcPr>
            <w:tcW w:type="dxa" w:w="850"/>
            <w:shd w:val="clear" w:color="auto" w:fill="F0F4F8"/>
          </w:tcPr>
          <w:p>
            <w:r>
              <w:rPr>
                <w:sz w:val="20"/>
              </w:rPr>
              <w:t>✅</w:t>
            </w:r>
          </w:p>
        </w:tc>
        <w:tc>
          <w:tcPr>
            <w:tcW w:type="dxa" w:w="3118"/>
            <w:shd w:val="clear" w:color="auto" w:fill="F0F4F8"/>
          </w:tcPr>
          <w:p>
            <w:r>
              <w:rPr>
                <w:sz w:val="20"/>
              </w:rPr>
              <w:t>PDF export</w:t>
            </w:r>
          </w:p>
        </w:tc>
        <w:tc>
          <w:tcPr>
            <w:tcW w:type="dxa" w:w="4535"/>
            <w:shd w:val="clear" w:color="auto" w:fill="F0F4F8"/>
          </w:tcPr>
          <w:p>
            <w:r>
              <w:rPr>
                <w:sz w:val="20"/>
              </w:rPr>
              <w:t>Playwright-based A4 PDF renderer wired</w:t>
            </w:r>
          </w:p>
        </w:tc>
      </w:tr>
      <w:tr>
        <w:tc>
          <w:tcPr>
            <w:tcW w:type="dxa" w:w="850"/>
            <w:shd w:val="clear" w:color="auto" w:fill="FFFFFF"/>
          </w:tcPr>
          <w:p>
            <w:r>
              <w:rPr>
                <w:sz w:val="20"/>
              </w:rPr>
              <w:t>✅</w:t>
            </w:r>
          </w:p>
        </w:tc>
        <w:tc>
          <w:tcPr>
            <w:tcW w:type="dxa" w:w="3118"/>
            <w:shd w:val="clear" w:color="auto" w:fill="FFFFFF"/>
          </w:tcPr>
          <w:p>
            <w:r>
              <w:rPr>
                <w:sz w:val="20"/>
              </w:rPr>
              <w:t>Report persistence</w:t>
            </w:r>
          </w:p>
        </w:tc>
        <w:tc>
          <w:tcPr>
            <w:tcW w:type="dxa" w:w="4535"/>
            <w:shd w:val="clear" w:color="auto" w:fill="FFFFFF"/>
          </w:tcPr>
          <w:p>
            <w:r>
              <w:rPr>
                <w:sz w:val="20"/>
              </w:rPr>
              <w:t>Supabase: reports + source_results tables wired</w:t>
            </w:r>
          </w:p>
        </w:tc>
      </w:tr>
      <w:tr>
        <w:tc>
          <w:tcPr>
            <w:tcW w:type="dxa" w:w="850"/>
            <w:shd w:val="clear" w:color="auto" w:fill="F0F4F8"/>
          </w:tcPr>
          <w:p>
            <w:r>
              <w:rPr>
                <w:sz w:val="20"/>
              </w:rPr>
              <w:t>✅</w:t>
            </w:r>
          </w:p>
        </w:tc>
        <w:tc>
          <w:tcPr>
            <w:tcW w:type="dxa" w:w="3118"/>
            <w:shd w:val="clear" w:color="auto" w:fill="F0F4F8"/>
          </w:tcPr>
          <w:p>
            <w:r>
              <w:rPr>
                <w:sz w:val="20"/>
              </w:rPr>
              <w:t>Production deployment</w:t>
            </w:r>
          </w:p>
        </w:tc>
        <w:tc>
          <w:tcPr>
            <w:tcW w:type="dxa" w:w="4535"/>
            <w:shd w:val="clear" w:color="auto" w:fill="F0F4F8"/>
          </w:tcPr>
          <w:p>
            <w:r>
              <w:rPr>
                <w:sz w:val="20"/>
              </w:rPr>
              <w:t>Vercel — https://v0-cleardeed.vercel.app</w:t>
            </w:r>
          </w:p>
        </w:tc>
      </w:tr>
    </w:tbl>
    <w:p>
      <w:pPr>
        <w:spacing w:after="40"/>
      </w:pPr>
    </w:p>
    <w:p>
      <w:pPr>
        <w:spacing w:before="20" w:after="20"/>
        <w:ind w:left="340" w:right="340"/>
        <w:shd w:val="clear" w:color="auto" w:fill="FFF3E0"/>
        <w:pBdr>
          <w:left w:val="single" w:sz="12" w:space="4" w:color="C86A00"/>
        </w:pBdr>
      </w:pPr>
      <w:r>
        <w:rPr>
          <w:b/>
          <w:sz w:val="20"/>
        </w:rPr>
        <w:t>In progress / partial:</w:t>
      </w:r>
    </w:p>
    <w:p>
      <w:pPr>
        <w:spacing w:before="20" w:after="20"/>
        <w:ind w:left="340" w:right="340"/>
        <w:shd w:val="clear" w:color="auto" w:fill="FFF3E0"/>
      </w:pPr>
      <w:r>
        <w:rPr>
          <w:b w:val="0"/>
          <w:sz w:val="20"/>
        </w:rPr>
        <w:t>eCourts — OCR works, zero-case confirmed; captcha solve rate needs 10-run measurement</w:t>
      </w:r>
    </w:p>
    <w:p>
      <w:pPr>
        <w:spacing w:before="20" w:after="20"/>
        <w:ind w:left="340" w:right="340"/>
        <w:shd w:val="clear" w:color="auto" w:fill="FFF3E0"/>
      </w:pPr>
      <w:r>
        <w:rPr>
          <w:b w:val="0"/>
          <w:sz w:val="20"/>
        </w:rPr>
        <w:t>RCCMS — parser exists; live fetcher not yet wired to production</w:t>
      </w:r>
    </w:p>
    <w:p>
      <w:pPr>
        <w:spacing w:before="20" w:after="20"/>
        <w:ind w:left="340" w:right="340"/>
        <w:shd w:val="clear" w:color="auto" w:fill="FFF3E0"/>
      </w:pPr>
      <w:r>
        <w:rPr>
          <w:b w:val="0"/>
          <w:sz w:val="20"/>
        </w:rPr>
        <w:t>Bhulekh village codes — 9 of 22 Khordha villages confirmed; 13 pending probe</w:t>
      </w:r>
    </w:p>
    <w:p>
      <w:pPr>
        <w:spacing w:after="40"/>
      </w:pP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0D2B55"/>
          </w:tcPr>
          <w:p>
            <w:r>
              <w:rPr>
                <w:b/>
                <w:color w:val="FFFFFF"/>
                <w:sz w:val="20"/>
              </w:rPr>
              <w:t>Status</w:t>
            </w:r>
          </w:p>
        </w:tc>
        <w:tc>
          <w:tcPr>
            <w:tcW w:type="dxa" w:w="3118"/>
            <w:shd w:val="clear" w:color="auto" w:fill="0D2B55"/>
          </w:tcPr>
          <w:p>
            <w:r>
              <w:rPr>
                <w:b/>
                <w:color w:val="FFFFFF"/>
                <w:sz w:val="20"/>
              </w:rPr>
              <w:t>Feature</w:t>
            </w:r>
          </w:p>
        </w:tc>
        <w:tc>
          <w:tcPr>
            <w:tcW w:type="dxa" w:w="4535"/>
            <w:shd w:val="clear" w:color="auto" w:fill="0D2B55"/>
          </w:tcPr>
          <w:p>
            <w:r>
              <w:rPr>
                <w:b/>
                <w:color w:val="FFFFFF"/>
                <w:sz w:val="20"/>
              </w:rPr>
              <w:t>Detail</w:t>
            </w:r>
          </w:p>
        </w:tc>
      </w:tr>
      <w:tr>
        <w:tc>
          <w:tcPr>
            <w:tcW w:type="dxa" w:w="850"/>
            <w:shd w:val="clear" w:color="auto" w:fill="F0F4F8"/>
          </w:tcPr>
          <w:p>
            <w:r>
              <w:rPr>
                <w:sz w:val="20"/>
              </w:rPr>
              <w:t>❌</w:t>
            </w:r>
          </w:p>
        </w:tc>
        <w:tc>
          <w:tcPr>
            <w:tcW w:type="dxa" w:w="3118"/>
            <w:shd w:val="clear" w:color="auto" w:fill="F0F4F8"/>
          </w:tcPr>
          <w:p>
            <w:r>
              <w:rPr>
                <w:sz w:val="20"/>
              </w:rPr>
              <w:t>CERSAI charge search</w:t>
            </w:r>
          </w:p>
        </w:tc>
        <w:tc>
          <w:tcPr>
            <w:tcW w:type="dxa" w:w="4535"/>
            <w:shd w:val="clear" w:color="auto" w:fill="F0F4F8"/>
          </w:tcPr>
          <w:p>
            <w:r>
              <w:rPr>
                <w:sz w:val="20"/>
              </w:rPr>
              <w:t>Paid probe required before any automation</w:t>
            </w:r>
          </w:p>
        </w:tc>
      </w:tr>
      <w:tr>
        <w:tc>
          <w:tcPr>
            <w:tcW w:type="dxa" w:w="850"/>
            <w:shd w:val="clear" w:color="auto" w:fill="FFFFFF"/>
          </w:tcPr>
          <w:p>
            <w:r>
              <w:rPr>
                <w:sz w:val="20"/>
              </w:rPr>
              <w:t>❌</w:t>
            </w:r>
          </w:p>
        </w:tc>
        <w:tc>
          <w:tcPr>
            <w:tcW w:type="dxa" w:w="3118"/>
            <w:shd w:val="clear" w:color="auto" w:fill="FFFFFF"/>
          </w:tcPr>
          <w:p>
            <w:r>
              <w:rPr>
                <w:sz w:val="20"/>
              </w:rPr>
              <w:t>IGR EC retrieval</w:t>
            </w:r>
          </w:p>
        </w:tc>
        <w:tc>
          <w:tcPr>
            <w:tcW w:type="dxa" w:w="4535"/>
            <w:shd w:val="clear" w:color="auto" w:fill="FFFFFF"/>
          </w:tcPr>
          <w:p>
            <w:r>
              <w:rPr>
                <w:sz w:val="20"/>
              </w:rPr>
              <w:t>Paid portal + legal review before automated flow</w:t>
            </w:r>
          </w:p>
        </w:tc>
      </w:tr>
      <w:tr>
        <w:tc>
          <w:tcPr>
            <w:tcW w:type="dxa" w:w="850"/>
            <w:shd w:val="clear" w:color="auto" w:fill="F0F4F8"/>
          </w:tcPr>
          <w:p>
            <w:r>
              <w:rPr>
                <w:sz w:val="20"/>
              </w:rPr>
              <w:t>❌</w:t>
            </w:r>
          </w:p>
        </w:tc>
        <w:tc>
          <w:tcPr>
            <w:tcW w:type="dxa" w:w="3118"/>
            <w:shd w:val="clear" w:color="auto" w:fill="F0F4F8"/>
          </w:tcPr>
          <w:p>
            <w:r>
              <w:rPr>
                <w:sz w:val="20"/>
              </w:rPr>
              <w:t>Regulatory overlays</w:t>
            </w:r>
          </w:p>
        </w:tc>
        <w:tc>
          <w:tcPr>
            <w:tcW w:type="dxa" w:w="4535"/>
            <w:shd w:val="clear" w:color="auto" w:fill="F0F4F8"/>
          </w:tcPr>
          <w:p>
            <w:r>
              <w:rPr>
                <w:sz w:val="20"/>
              </w:rPr>
              <w:t>Bhuvan, DTCP, BDA zones — no data source integrated yet</w:t>
            </w:r>
          </w:p>
        </w:tc>
      </w:tr>
      <w:tr>
        <w:tc>
          <w:tcPr>
            <w:tcW w:type="dxa" w:w="850"/>
            <w:shd w:val="clear" w:color="auto" w:fill="FFFFFF"/>
          </w:tcPr>
          <w:p>
            <w:r>
              <w:rPr>
                <w:sz w:val="20"/>
              </w:rPr>
              <w:t>❌</w:t>
            </w:r>
          </w:p>
        </w:tc>
        <w:tc>
          <w:tcPr>
            <w:tcW w:type="dxa" w:w="3118"/>
            <w:shd w:val="clear" w:color="auto" w:fill="FFFFFF"/>
          </w:tcPr>
          <w:p>
            <w:r>
              <w:rPr>
                <w:sz w:val="20"/>
              </w:rPr>
              <w:t>Multi-district support</w:t>
            </w:r>
          </w:p>
        </w:tc>
        <w:tc>
          <w:tcPr>
            <w:tcW w:type="dxa" w:w="4535"/>
            <w:shd w:val="clear" w:color="auto" w:fill="FFFFFF"/>
          </w:tcPr>
          <w:p>
            <w:r>
              <w:rPr>
                <w:sz w:val="20"/>
              </w:rPr>
              <w:t>Currently Khordha only (Bhubaneswar tahasil scope)</w:t>
            </w:r>
          </w:p>
        </w:tc>
      </w:tr>
      <w:tr>
        <w:tc>
          <w:tcPr>
            <w:tcW w:type="dxa" w:w="850"/>
            <w:shd w:val="clear" w:color="auto" w:fill="F0F4F8"/>
          </w:tcPr>
          <w:p>
            <w:r>
              <w:rPr>
                <w:sz w:val="20"/>
              </w:rPr>
              <w:t>❌</w:t>
            </w:r>
          </w:p>
        </w:tc>
        <w:tc>
          <w:tcPr>
            <w:tcW w:type="dxa" w:w="3118"/>
            <w:shd w:val="clear" w:color="auto" w:fill="F0F4F8"/>
          </w:tcPr>
          <w:p>
            <w:r>
              <w:rPr>
                <w:sz w:val="20"/>
              </w:rPr>
              <w:t>User accounts / auth</w:t>
            </w:r>
          </w:p>
        </w:tc>
        <w:tc>
          <w:tcPr>
            <w:tcW w:type="dxa" w:w="4535"/>
            <w:shd w:val="clear" w:color="auto" w:fill="F0F4F8"/>
          </w:tcPr>
          <w:p>
            <w:r>
              <w:rPr>
                <w:sz w:val="20"/>
              </w:rPr>
              <w:t>No login system yet</w:t>
            </w:r>
          </w:p>
        </w:tc>
      </w:tr>
      <w:tr>
        <w:tc>
          <w:tcPr>
            <w:tcW w:type="dxa" w:w="850"/>
            <w:shd w:val="clear" w:color="auto" w:fill="FFFFFF"/>
          </w:tcPr>
          <w:p>
            <w:r>
              <w:rPr>
                <w:sz w:val="20"/>
              </w:rPr>
              <w:t>❌</w:t>
            </w:r>
          </w:p>
        </w:tc>
        <w:tc>
          <w:tcPr>
            <w:tcW w:type="dxa" w:w="3118"/>
            <w:shd w:val="clear" w:color="auto" w:fill="FFFFFF"/>
          </w:tcPr>
          <w:p>
            <w:r>
              <w:rPr>
                <w:sz w:val="20"/>
              </w:rPr>
              <w:t>Payments / billing</w:t>
            </w:r>
          </w:p>
        </w:tc>
        <w:tc>
          <w:tcPr>
            <w:tcW w:type="dxa" w:w="4535"/>
            <w:shd w:val="clear" w:color="auto" w:fill="FFFFFF"/>
          </w:tcPr>
          <w:p>
            <w:r>
              <w:rPr>
                <w:sz w:val="20"/>
              </w:rPr>
              <w:t>Razorpay not yet integrated</w:t>
            </w:r>
          </w:p>
        </w:tc>
      </w:tr>
    </w:tbl>
    <w:p>
      <w:pPr>
        <w:spacing w:after="40"/>
      </w:pPr>
    </w:p>
    <w:p>
      <w:pPr>
        <w:spacing w:before="320" w:after="80"/>
        <w:pBdr>
          <w:bottom w:val="single" w:sz="6" w:space="1" w:color="0D2B55"/>
        </w:pBdr>
      </w:pPr>
      <w:r>
        <w:rPr>
          <w:b/>
          <w:color w:val="0D2B55"/>
          <w:sz w:val="26"/>
        </w:rPr>
        <w:t>6. ROADMAP</w:t>
      </w:r>
    </w:p>
    <w:p>
      <w:pPr>
        <w:spacing w:before="160" w:after="40"/>
      </w:pPr>
      <w:r>
        <w:rPr>
          <w:b/>
          <w:color w:val="0D2B55"/>
          <w:sz w:val="22"/>
        </w:rPr>
        <w:t>PHASE 1 — Concierge Launch</w:t>
      </w:r>
      <w:r>
        <w:rPr>
          <w:i/>
          <w:color w:val="007A8A"/>
          <w:sz w:val="20"/>
        </w:rPr>
        <w:t xml:space="preserve">  |  NOW (Q2 2026)</w:t>
      </w:r>
    </w:p>
    <w:p>
      <w:pPr>
        <w:spacing w:after="120"/>
        <w:ind w:left="283"/>
      </w:pPr>
      <w:r>
        <w:rPr>
          <w:sz w:val="21"/>
        </w:rPr>
        <w:t>Manual report generation for early leads via WhatsApp/phone intake. PDF delivery by email. Legal disclaimer review and counsel sign-off. 10 real-user reports for domain reviewer QA. Target: first paid report within 4 weeks of legal review.</w:t>
      </w:r>
    </w:p>
    <w:p>
      <w:pPr>
        <w:spacing w:before="160" w:after="40"/>
      </w:pPr>
      <w:r>
        <w:rPr>
          <w:b/>
          <w:color w:val="0D2B55"/>
          <w:sz w:val="22"/>
        </w:rPr>
        <w:t>PHASE 2 — Source Expansion</w:t>
      </w:r>
      <w:r>
        <w:rPr>
          <w:i/>
          <w:color w:val="007A8A"/>
          <w:sz w:val="20"/>
        </w:rPr>
        <w:t xml:space="preserve">  |  Q2 2026</w:t>
      </w:r>
    </w:p>
    <w:p>
      <w:pPr>
        <w:spacing w:after="120"/>
        <w:ind w:left="283"/>
      </w:pPr>
      <w:r>
        <w:rPr>
          <w:sz w:val="21"/>
        </w:rPr>
        <w:t>Live RCCMS fetcher for revenue court cases. Probe IGR Index-II access flow, fees, and working URL. Probe CERSAI public asset search. Expand Bhulekh village codes to all ~22 Khordha villages.</w:t>
      </w:r>
    </w:p>
    <w:p>
      <w:pPr>
        <w:spacing w:before="160" w:after="40"/>
      </w:pPr>
      <w:r>
        <w:rPr>
          <w:b/>
          <w:color w:val="0D2B55"/>
          <w:sz w:val="22"/>
        </w:rPr>
        <w:t>PHASE 3 — Self-Serve Product</w:t>
      </w:r>
      <w:r>
        <w:rPr>
          <w:i/>
          <w:color w:val="007A8A"/>
          <w:sz w:val="20"/>
        </w:rPr>
        <w:t xml:space="preserve">  |  Q3 2026</w:t>
      </w:r>
    </w:p>
    <w:p>
      <w:pPr>
        <w:spacing w:after="120"/>
        <w:ind w:left="283"/>
      </w:pPr>
      <w:r>
        <w:rPr>
          <w:sz w:val="21"/>
        </w:rPr>
        <w:t>User accounts + payment via Razorpay. Mobile-responsive report with real-time status. District expansion: Balianta, Balugaon, Jatni tahasils. Cross-source validation framework (GPS bounds, area reconciliation, village consistency checks).</w:t>
      </w:r>
    </w:p>
    <w:p>
      <w:pPr>
        <w:spacing w:before="160" w:after="40"/>
      </w:pPr>
      <w:r>
        <w:rPr>
          <w:b/>
          <w:color w:val="0D2B55"/>
          <w:sz w:val="22"/>
        </w:rPr>
        <w:t>PHASE 4 — Regulatory &amp; Trust</w:t>
      </w:r>
      <w:r>
        <w:rPr>
          <w:i/>
          <w:color w:val="007A8A"/>
          <w:sz w:val="20"/>
        </w:rPr>
        <w:t xml:space="preserve">  |  Q4 2026</w:t>
      </w:r>
    </w:p>
    <w:p>
      <w:pPr>
        <w:spacing w:after="120"/>
        <w:ind w:left="283"/>
      </w:pPr>
      <w:r>
        <w:rPr>
          <w:sz w:val="21"/>
        </w:rPr>
        <w:t>Bhuvan/BDA/DTCP overlay integration. RERA project lookup for marketed layouts. Seller authority checks (company/LLP MCA). Buyer-side fraud signals: adjacent-owner disputes, subdivision-pattern detection via WFS. B2B API for PropTech platforms.</w:t>
      </w:r>
    </w:p>
    <w:p>
      <w:pPr>
        <w:spacing w:before="320" w:after="80"/>
        <w:pBdr>
          <w:bottom w:val="single" w:sz="6" w:space="1" w:color="0D2B55"/>
        </w:pBdr>
      </w:pPr>
      <w:r>
        <w:rPr>
          <w:b/>
          <w:color w:val="0D2B55"/>
          <w:sz w:val="26"/>
        </w:rPr>
        <w:t>7. TEAM &amp; TIMELINE</w:t>
      </w:r>
    </w:p>
    <w:p>
      <w:pPr>
        <w:spacing w:after="40"/>
      </w:pPr>
      <w:r>
        <w:rPr>
          <w:b/>
          <w:color w:val="0D2B55"/>
          <w:sz w:val="21"/>
        </w:rPr>
        <w:t xml:space="preserve">Current team: </w:t>
      </w:r>
      <w:r>
        <w:rPr>
          <w:sz w:val="21"/>
        </w:rPr>
        <w:t>1 solo builder — engineering, product, and ops</w:t>
      </w:r>
    </w:p>
    <w:p>
      <w:pPr>
        <w:spacing w:after="40"/>
      </w:pPr>
      <w:r>
        <w:rPr>
          <w:b/>
          <w:color w:val="0D2B55"/>
          <w:sz w:val="21"/>
        </w:rPr>
        <w:t xml:space="preserve">Legal review: </w:t>
      </w:r>
      <w:r>
        <w:rPr>
          <w:sz w:val="21"/>
        </w:rPr>
        <w:t>₹50k–₹1.5L budget allocated; Odisha property lawyer needed for V1 sign-off</w:t>
      </w:r>
    </w:p>
    <w:p>
      <w:pPr>
        <w:spacing w:after="40"/>
      </w:pPr>
      <w:r>
        <w:rPr>
          <w:b/>
          <w:color w:val="0D2B55"/>
          <w:sz w:val="21"/>
        </w:rPr>
        <w:t xml:space="preserve">First paid report: </w:t>
      </w:r>
      <w:r>
        <w:rPr>
          <w:sz w:val="21"/>
        </w:rPr>
        <w:t>Target: within 4 weeks of legal review completion</w:t>
      </w:r>
    </w:p>
    <w:p>
      <w:pPr>
        <w:spacing w:after="40"/>
      </w:pPr>
      <w:r>
        <w:rPr>
          <w:b/>
          <w:color w:val="0D2B55"/>
          <w:sz w:val="21"/>
        </w:rPr>
        <w:t xml:space="preserve">Self-serve launch: </w:t>
      </w:r>
      <w:r>
        <w:rPr>
          <w:sz w:val="21"/>
        </w:rPr>
        <w:t>Q3 2026 — user accounts + payment + mobile report</w:t>
      </w:r>
    </w:p>
    <w:p>
      <w:pPr>
        <w:spacing w:after="40"/>
      </w:pPr>
      <w:r>
        <w:rPr>
          <w:b/>
          <w:color w:val="0D2B55"/>
          <w:sz w:val="21"/>
        </w:rPr>
        <w:t xml:space="preserve">District expansion: </w:t>
      </w:r>
      <w:r>
        <w:rPr>
          <w:sz w:val="21"/>
        </w:rPr>
        <w:t>Q3 2026 — Balianta, Balugaon, Jatni tahasils beyond Khordha</w:t>
      </w:r>
    </w:p>
    <w:p>
      <w:pPr>
        <w:spacing w:after="40"/>
      </w:pPr>
      <w:r>
        <w:rPr>
          <w:b/>
          <w:color w:val="0D2B55"/>
          <w:sz w:val="21"/>
        </w:rPr>
        <w:t xml:space="preserve">Full roadmap: </w:t>
      </w:r>
      <w:r>
        <w:rPr>
          <w:sz w:val="21"/>
        </w:rPr>
        <w:t>Q4 2026 — regulatory overlays, RERA, MCA, B2B API</w:t>
      </w:r>
    </w:p>
    <w:p>
      <w:pPr>
        <w:spacing w:before="320" w:after="80"/>
        <w:pBdr>
          <w:bottom w:val="single" w:sz="6" w:space="1" w:color="0D2B55"/>
        </w:pBdr>
      </w:pPr>
      <w:r>
        <w:rPr>
          <w:b/>
          <w:color w:val="0D2B55"/>
          <w:sz w:val="26"/>
        </w:rPr>
        <w:t>8. DISTRIBUTION STRATEGY</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0D2B55"/>
          </w:tcPr>
          <w:p>
            <w:r>
              <w:rPr>
                <w:b/>
                <w:color w:val="FFFFFF"/>
                <w:sz w:val="20"/>
              </w:rPr>
              <w:t>Channel</w:t>
            </w:r>
          </w:p>
        </w:tc>
        <w:tc>
          <w:tcPr>
            <w:tcW w:type="dxa" w:w="3118"/>
            <w:shd w:val="clear" w:color="auto" w:fill="0D2B55"/>
          </w:tcPr>
          <w:p>
            <w:r>
              <w:rPr>
                <w:b/>
                <w:color w:val="FFFFFF"/>
                <w:sz w:val="20"/>
              </w:rPr>
              <w:t>Who</w:t>
            </w:r>
          </w:p>
        </w:tc>
        <w:tc>
          <w:tcPr>
            <w:tcW w:type="dxa" w:w="4252"/>
            <w:shd w:val="clear" w:color="auto" w:fill="0D2B55"/>
          </w:tcPr>
          <w:p>
            <w:r>
              <w:rPr>
                <w:b/>
                <w:color w:val="FFFFFF"/>
                <w:sz w:val="20"/>
              </w:rPr>
              <w:t>Model</w:t>
            </w:r>
          </w:p>
        </w:tc>
      </w:tr>
      <w:tr>
        <w:tc>
          <w:tcPr>
            <w:tcW w:type="dxa" w:w="1134"/>
            <w:shd w:val="clear" w:color="auto" w:fill="F0F4F8"/>
          </w:tcPr>
          <w:p>
            <w:r>
              <w:rPr>
                <w:sz w:val="20"/>
              </w:rPr>
              <w:t>Primary</w:t>
            </w:r>
          </w:p>
        </w:tc>
        <w:tc>
          <w:tcPr>
            <w:tcW w:type="dxa" w:w="3118"/>
            <w:shd w:val="clear" w:color="auto" w:fill="F0F4F8"/>
          </w:tcPr>
          <w:p>
            <w:r>
              <w:rPr>
                <w:sz w:val="20"/>
              </w:rPr>
              <w:t>Individual land buyers in Khordha</w:t>
            </w:r>
          </w:p>
        </w:tc>
        <w:tc>
          <w:tcPr>
            <w:tcW w:type="dxa" w:w="4252"/>
            <w:shd w:val="clear" w:color="auto" w:fill="F0F4F8"/>
          </w:tcPr>
          <w:p>
            <w:r>
              <w:rPr>
                <w:sz w:val="20"/>
              </w:rPr>
              <w:t>Organic + WhatsApp word-of-mouth</w:t>
            </w:r>
          </w:p>
        </w:tc>
      </w:tr>
      <w:tr>
        <w:tc>
          <w:tcPr>
            <w:tcW w:type="dxa" w:w="1134"/>
            <w:shd w:val="clear" w:color="auto" w:fill="FFFFFF"/>
          </w:tcPr>
          <w:p>
            <w:r>
              <w:rPr>
                <w:sz w:val="20"/>
              </w:rPr>
              <w:t>Secondary</w:t>
            </w:r>
          </w:p>
        </w:tc>
        <w:tc>
          <w:tcPr>
            <w:tcW w:type="dxa" w:w="3118"/>
            <w:shd w:val="clear" w:color="auto" w:fill="FFFFFF"/>
          </w:tcPr>
          <w:p>
            <w:r>
              <w:rPr>
                <w:sz w:val="20"/>
              </w:rPr>
              <w:t>Property brokers as channel partners</w:t>
            </w:r>
          </w:p>
        </w:tc>
        <w:tc>
          <w:tcPr>
            <w:tcW w:type="dxa" w:w="4252"/>
            <w:shd w:val="clear" w:color="auto" w:fill="FFFFFF"/>
          </w:tcPr>
          <w:p>
            <w:r>
              <w:rPr>
                <w:sz w:val="20"/>
              </w:rPr>
              <w:t>Referral revenue share</w:t>
            </w:r>
          </w:p>
        </w:tc>
      </w:tr>
      <w:tr>
        <w:tc>
          <w:tcPr>
            <w:tcW w:type="dxa" w:w="1134"/>
            <w:shd w:val="clear" w:color="auto" w:fill="F0F4F8"/>
          </w:tcPr>
          <w:p>
            <w:r>
              <w:rPr>
                <w:sz w:val="20"/>
              </w:rPr>
              <w:t>Tertiary</w:t>
            </w:r>
          </w:p>
        </w:tc>
        <w:tc>
          <w:tcPr>
            <w:tcW w:type="dxa" w:w="3118"/>
            <w:shd w:val="clear" w:color="auto" w:fill="F0F4F8"/>
          </w:tcPr>
          <w:p>
            <w:r>
              <w:rPr>
                <w:sz w:val="20"/>
              </w:rPr>
              <w:t>Bank / NBFC loan officers</w:t>
            </w:r>
          </w:p>
        </w:tc>
        <w:tc>
          <w:tcPr>
            <w:tcW w:type="dxa" w:w="4252"/>
            <w:shd w:val="clear" w:color="auto" w:fill="F0F4F8"/>
          </w:tcPr>
          <w:p>
            <w:r>
              <w:rPr>
                <w:sz w:val="20"/>
              </w:rPr>
              <w:t>They require the report before approving loans</w:t>
            </w:r>
          </w:p>
        </w:tc>
      </w:tr>
      <w:tr>
        <w:tc>
          <w:tcPr>
            <w:tcW w:type="dxa" w:w="1134"/>
            <w:shd w:val="clear" w:color="auto" w:fill="FFFFFF"/>
          </w:tcPr>
          <w:p>
            <w:r>
              <w:rPr>
                <w:sz w:val="20"/>
              </w:rPr>
              <w:t>Future</w:t>
            </w:r>
          </w:p>
        </w:tc>
        <w:tc>
          <w:tcPr>
            <w:tcW w:type="dxa" w:w="3118"/>
            <w:shd w:val="clear" w:color="auto" w:fill="FFFFFF"/>
          </w:tcPr>
          <w:p>
            <w:r>
              <w:rPr>
                <w:sz w:val="20"/>
              </w:rPr>
              <w:t>PropTech platforms</w:t>
            </w:r>
          </w:p>
        </w:tc>
        <w:tc>
          <w:tcPr>
            <w:tcW w:type="dxa" w:w="4252"/>
            <w:shd w:val="clear" w:color="auto" w:fill="FFFFFF"/>
          </w:tcPr>
          <w:p>
            <w:r>
              <w:rPr>
                <w:sz w:val="20"/>
              </w:rPr>
              <w:t>B2B API for property portals and realty firms</w:t>
            </w:r>
          </w:p>
        </w:tc>
      </w:tr>
    </w:tbl>
    <w:p>
      <w:pPr>
        <w:spacing w:after="40"/>
      </w:pPr>
    </w:p>
    <w:p>
      <w:pPr>
        <w:spacing w:before="320" w:after="80"/>
        <w:pBdr>
          <w:bottom w:val="single" w:sz="6" w:space="1" w:color="0D2B55"/>
        </w:pBdr>
      </w:pPr>
      <w:r>
        <w:rPr>
          <w:b/>
          <w:color w:val="0D2B55"/>
          <w:sz w:val="26"/>
        </w:rPr>
        <w:t>9. LIABILITY &amp; DISCLAIMERS</w:t>
      </w:r>
    </w:p>
    <w:p>
      <w:pPr>
        <w:pStyle w:val="ListBullet"/>
        <w:spacing w:after="40"/>
        <w:ind w:left="283"/>
      </w:pPr>
      <w:r>
        <w:rPr>
          <w:b/>
          <w:color w:val="0D2B55"/>
          <w:sz w:val="21"/>
        </w:rPr>
        <w:t xml:space="preserve">Information aggregator only: </w:t>
      </w:r>
      <w:r>
        <w:rPr>
          <w:sz w:val="21"/>
        </w:rPr>
        <w:t>ClearDeed aggregates and structures information from public government portals. It is not a law firm and does not provide legal opinions.</w:t>
      </w:r>
    </w:p>
    <w:p>
      <w:pPr>
        <w:pStyle w:val="ListBullet"/>
        <w:spacing w:after="40"/>
        <w:ind w:left="283"/>
      </w:pPr>
      <w:r>
        <w:rPr>
          <w:b/>
          <w:color w:val="0D2B55"/>
          <w:sz w:val="21"/>
        </w:rPr>
        <w:t xml:space="preserve">No ownership certification: </w:t>
      </w:r>
      <w:r>
        <w:rPr>
          <w:sz w:val="21"/>
        </w:rPr>
        <w:t>ClearDeed does not certify that the seller is the rightful owner of the property. The underlying land records may contain errors, omissions, or pending mutations.</w:t>
      </w:r>
    </w:p>
    <w:p>
      <w:pPr>
        <w:pStyle w:val="ListBullet"/>
        <w:spacing w:after="40"/>
        <w:ind w:left="283"/>
      </w:pPr>
      <w:r>
        <w:rPr>
          <w:b/>
          <w:color w:val="0D2B55"/>
          <w:sz w:val="21"/>
        </w:rPr>
        <w:t xml:space="preserve">Consult a lawyer: </w:t>
      </w:r>
      <w:r>
        <w:rPr>
          <w:sz w:val="21"/>
        </w:rPr>
        <w:t>Every ClearDeed report includes a mandatory section: 'Consult a registered property lawyer before transacting.' This is non-negotiable.</w:t>
      </w:r>
    </w:p>
    <w:p>
      <w:pPr>
        <w:pStyle w:val="ListBullet"/>
        <w:spacing w:after="40"/>
        <w:ind w:left="283"/>
      </w:pPr>
      <w:r>
        <w:rPr>
          <w:b/>
          <w:color w:val="0D2B55"/>
          <w:sz w:val="21"/>
        </w:rPr>
        <w:t xml:space="preserve">No purchase recommendation: </w:t>
      </w:r>
      <w:r>
        <w:rPr>
          <w:sz w:val="21"/>
        </w:rPr>
        <w:t>ClearDeed does not recommend for or against any transaction. It provides information only, and the buyer bears full responsibility for their decision.</w:t>
      </w:r>
    </w:p>
    <w:p>
      <w:pPr>
        <w:pStyle w:val="ListBullet"/>
        <w:spacing w:after="40"/>
        <w:ind w:left="283"/>
      </w:pPr>
      <w:r>
        <w:rPr>
          <w:b/>
          <w:color w:val="0D2B55"/>
          <w:sz w:val="21"/>
        </w:rPr>
        <w:t xml:space="preserve">Government portal errors: </w:t>
      </w:r>
      <w:r>
        <w:rPr>
          <w:sz w:val="21"/>
        </w:rPr>
        <w:t>ClearDeed is not responsible for errors, downtime, or changes in government portals (bhulekh.ori.nic.in, services.ecourts.gov.in, etc.).</w:t>
      </w:r>
    </w:p>
    <w:p>
      <w:pPr>
        <w:pStyle w:val="ListBullet"/>
        <w:spacing w:after="40"/>
        <w:ind w:left="283"/>
      </w:pPr>
      <w:r>
        <w:rPr>
          <w:b/>
          <w:color w:val="0D2B55"/>
          <w:sz w:val="21"/>
        </w:rPr>
        <w:t xml:space="preserve">DPDP compliance: </w:t>
      </w:r>
      <w:r>
        <w:rPr>
          <w:sz w:val="21"/>
        </w:rPr>
        <w:t>Buyer-provided data (name, GPS) is used solely to generate the report and is not shared with third parties. Data retention policy pending DPDP Act rules.</w:t>
      </w:r>
    </w:p>
    <w:p/>
    <w:p>
      <w:pPr>
        <w:spacing w:before="20" w:after="20"/>
        <w:ind w:left="340" w:right="340"/>
        <w:shd w:val="clear" w:color="auto" w:fill="FFEBEE"/>
        <w:pBdr>
          <w:left w:val="single" w:sz="12" w:space="4" w:color="CC0000"/>
        </w:pBdr>
      </w:pPr>
      <w:r>
        <w:rPr>
          <w:b/>
          <w:sz w:val="20"/>
        </w:rPr>
        <w:t>IMPORTANT:</w:t>
      </w:r>
    </w:p>
    <w:p>
      <w:pPr>
        <w:spacing w:before="20" w:after="20"/>
        <w:ind w:left="340" w:right="340"/>
        <w:shd w:val="clear" w:color="auto" w:fill="FFEBEE"/>
      </w:pPr>
      <w:r>
        <w:rPr>
          <w:b w:val="0"/>
          <w:sz w:val="20"/>
        </w:rPr>
        <w:t>This document describes a product in development. Feature roadmap and timelines are indicative and subject to change based on technical discovery, legal review, and market feedback.</w:t>
      </w:r>
    </w:p>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