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FFFFFF" w:sz="0"/>
          <w:left w:val="single" w:color="FFFFFF" w:sz="0"/>
          <w:bottom w:val="single" w:color="B88A2E" w:sz="18" w:space="0"/>
          <w:right w:val="singl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B2A4E" w:color="auto" w:val="clear"/>
            <w:tcMar>
              <w:top w:type="dxa" w:w="360"/>
              <w:left w:type="dxa" w:w="360"/>
              <w:bottom w:type="dxa" w:w="280"/>
              <w:right w:type="dxa" w:w="360"/>
            </w:tcMar>
            <w:vAlign w:val="center"/>
          </w:tcPr>
          <w:p>
            <w:pPr>
              <w:spacing w:after="200"/>
            </w:pPr>
            <w:r>
              <w:rPr>
                <w:rFonts w:ascii="Calibri" w:cs="Calibri" w:eastAsia="Calibri" w:hAnsi="Calibri"/>
                <w:b/>
                <w:bCs/>
                <w:color w:val="D9B85E"/>
                <w:spacing w:val="120"/>
                <w:sz w:val="16"/>
                <w:szCs w:val="16"/>
              </w:rPr>
              <w:t xml:space="preserve">EXECUTIVE BRIEF</w:t>
            </w:r>
            <w:r>
              <w:rPr>
                <w:rFonts w:ascii="Calibri" w:cs="Calibri" w:eastAsia="Calibri" w:hAnsi="Calibri"/>
                <w:color w:val="8A95AE"/>
                <w:sz w:val="16"/>
                <w:szCs w:val="16"/>
              </w:rPr>
              <w:t xml:space="preserve">    ·    </w:t>
            </w:r>
            <w:r>
              <w:rPr>
                <w:rFonts w:ascii="Calibri" w:cs="Calibri" w:eastAsia="Calibri" w:hAnsi="Calibri"/>
                <w:b/>
                <w:bCs/>
                <w:color w:val="8A95AE"/>
                <w:spacing w:val="120"/>
                <w:sz w:val="16"/>
                <w:szCs w:val="16"/>
              </w:rPr>
              <w:t xml:space="preserve">CONFIDENTIAL</w:t>
            </w:r>
          </w:p>
          <w:p>
            <w:pPr>
              <w:spacing w:after="0" w:line="360" w:lineRule="auto"/>
            </w:pPr>
            <w:r>
              <w:rPr>
                <w:rFonts w:ascii="Georgia" w:cs="Georgia" w:eastAsia="Georgia" w:hAnsi="Georgia"/>
                <w:b/>
                <w:bCs/>
                <w:color w:val="FFFFFF"/>
                <w:spacing w:val="20"/>
                <w:sz w:val="84"/>
                <w:szCs w:val="84"/>
              </w:rPr>
              <w:t xml:space="preserve">ClearDeed</w:t>
            </w:r>
          </w:p>
          <w:p>
            <w:pPr>
              <w:spacing w:after="0" w:before="80" w:line="320" w:lineRule="auto"/>
            </w:pPr>
            <w:r>
              <w:rPr>
                <w:rFonts w:ascii="Georgia" w:cs="Georgia" w:eastAsia="Georgia" w:hAnsi="Georgia"/>
                <w:i/>
                <w:iCs/>
                <w:color w:val="C7CFE0"/>
                <w:sz w:val="26"/>
                <w:szCs w:val="26"/>
              </w:rPr>
              <w:t xml:space="preserve">One-click property verification for the Indian land buyer.</w:t>
            </w:r>
          </w:p>
        </w:tc>
      </w:tr>
      <w:tr>
        <w:trPr>
          <w:cantSplit/>
        </w:trPr>
        <w:tc>
          <w:tcPr>
            <w:tcW w:type="dxa" w:w="9360"/>
            <w:tcBorders>
              <w:top w:val="none" w:color="FFFFFF" w:sz="0"/>
              <w:left w:val="none" w:color="FFFFFF" w:sz="0"/>
              <w:bottom w:val="none" w:color="FFFFFF" w:sz="0"/>
              <w:right w:val="none" w:color="FFFFFF" w:sz="0"/>
            </w:tcBorders>
            <w:shd w:fill="F5F2EA" w:color="auto" w:val="clear"/>
            <w:tcMar>
              <w:top w:type="dxa" w:w="80"/>
              <w:left w:type="dxa" w:w="360"/>
              <w:bottom w:type="dxa" w:w="80"/>
              <w:right w:type="dxa" w:w="360"/>
            </w:tcMar>
            <w:vAlign w:val="center"/>
          </w:tcPr>
          <w:p>
            <w:r>
              <w:rPr>
                <w:rFonts w:ascii="Calibri" w:cs="Calibri" w:eastAsia="Calibri" w:hAnsi="Calibri"/>
                <w:color w:val="5A6B85"/>
                <w:spacing w:val="40"/>
                <w:sz w:val="16"/>
                <w:szCs w:val="16"/>
              </w:rPr>
              <w:t xml:space="preserve">Issue 1  ·  June 2026  ·  Founder &amp; Investor Brief</w:t>
            </w:r>
          </w:p>
        </w:tc>
      </w:tr>
    </w:tbl>
    <w:p>
      <w:pPr>
        <w:spacing w:after="200" w:before="320" w:line="360" w:lineRule="auto"/>
      </w:pPr>
      <w:r>
        <w:rPr>
          <w:rFonts w:ascii="Georgia" w:cs="Georgia" w:eastAsia="Georgia" w:hAnsi="Georgia"/>
          <w:color w:val="1B2A4E"/>
          <w:sz w:val="30"/>
          <w:szCs w:val="30"/>
        </w:rPr>
        <w:t xml:space="preserve">Given a plot and a claimed owner, ClearDeed returns a plain-English report — citing the public record — that tells the buyer exactly what is verified, what is not, and what to ask next.</w:t>
      </w:r>
    </w:p>
    <w:tbl>
      <w:tblPr>
        <w:tblW w:type="dxa" w:w="9360"/>
        <w:tblBorders>
          <w:top w:val="none" w:color="FFFFFF" w:sz="0"/>
          <w:left w:val="none" w:color="FFFFFF" w:sz="0"/>
          <w:bottom w:val="none" w:color="FFFFFF" w:sz="0"/>
          <w:right w:val="none" w:color="FFFFFF" w:sz="0"/>
          <w:insideH w:val="none" w:color="FFFFFF" w:sz="0"/>
          <w:insideV w:val="single" w:color="C8CFDB"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shd w:fill="FFFFFF" w:color="auto" w:val="clear"/>
            <w:tcMar>
              <w:top w:type="dxa" w:w="160"/>
              <w:left w:type="dxa" w:w="200"/>
              <w:bottom w:type="dxa" w:w="160"/>
              <w:right w:type="dxa" w:w="200"/>
            </w:tcMar>
            <w:vAlign w:val="center"/>
          </w:tcPr>
          <w:p>
            <w:pPr>
              <w:spacing w:after="100"/>
            </w:pPr>
            <w:r>
              <w:rPr>
                <w:rFonts w:ascii="Georgia" w:cs="Georgia" w:eastAsia="Georgia" w:hAnsi="Georgia"/>
                <w:b/>
                <w:bCs/>
                <w:color w:val="B88A2E"/>
                <w:sz w:val="36"/>
                <w:szCs w:val="36"/>
              </w:rPr>
              <w:t xml:space="preserve">01</w:t>
            </w:r>
          </w:p>
          <w:p>
            <w:pPr>
              <w:spacing w:after="120" w:line="300" w:lineRule="auto"/>
            </w:pPr>
            <w:r>
              <w:rPr>
                <w:rFonts w:ascii="Georgia" w:cs="Georgia" w:eastAsia="Georgia" w:hAnsi="Georgia"/>
                <w:b/>
                <w:bCs/>
                <w:color w:val="1B2A4E"/>
                <w:sz w:val="22"/>
                <w:szCs w:val="22"/>
              </w:rPr>
              <w:t xml:space="preserve">One click, not 8 hours</w:t>
            </w:r>
          </w:p>
          <w:p>
            <w:pPr>
              <w:spacing w:line="300" w:lineRule="auto"/>
            </w:pPr>
            <w:r>
              <w:rPr>
                <w:rFonts w:ascii="Calibri" w:cs="Calibri" w:eastAsia="Calibri" w:hAnsi="Calibri"/>
                <w:color w:val="141A2B"/>
                <w:sz w:val="20"/>
                <w:szCs w:val="20"/>
              </w:rPr>
              <w:t xml:space="preserve">What takes a lawyer 4–8 hours and ₹5,000–10,000, ClearDeed returns in minutes and at a fraction of the cost.</w:t>
            </w:r>
          </w:p>
        </w:tc>
        <w:tc>
          <w:tcPr>
            <w:tcW w:type="dxa" w:w="3120"/>
            <w:tcBorders>
              <w:top w:val="none" w:color="FFFFFF" w:sz="0"/>
              <w:left w:val="none" w:color="FFFFFF" w:sz="0"/>
              <w:bottom w:val="none" w:color="FFFFFF" w:sz="0"/>
              <w:right w:val="none" w:color="FFFFFF" w:sz="0"/>
            </w:tcBorders>
            <w:shd w:fill="F9FAFC" w:color="auto" w:val="clear"/>
            <w:tcMar>
              <w:top w:type="dxa" w:w="160"/>
              <w:left w:type="dxa" w:w="200"/>
              <w:bottom w:type="dxa" w:w="160"/>
              <w:right w:type="dxa" w:w="200"/>
            </w:tcMar>
            <w:vAlign w:val="center"/>
          </w:tcPr>
          <w:p>
            <w:pPr>
              <w:spacing w:after="100"/>
            </w:pPr>
            <w:r>
              <w:rPr>
                <w:rFonts w:ascii="Georgia" w:cs="Georgia" w:eastAsia="Georgia" w:hAnsi="Georgia"/>
                <w:b/>
                <w:bCs/>
                <w:color w:val="B88A2E"/>
                <w:sz w:val="36"/>
                <w:szCs w:val="36"/>
              </w:rPr>
              <w:t xml:space="preserve">02</w:t>
            </w:r>
          </w:p>
          <w:p>
            <w:pPr>
              <w:spacing w:after="120" w:line="300" w:lineRule="auto"/>
            </w:pPr>
            <w:r>
              <w:rPr>
                <w:rFonts w:ascii="Georgia" w:cs="Georgia" w:eastAsia="Georgia" w:hAnsi="Georgia"/>
                <w:b/>
                <w:bCs/>
                <w:color w:val="1B2A4E"/>
                <w:sz w:val="22"/>
                <w:szCs w:val="22"/>
              </w:rPr>
              <w:t xml:space="preserve">Reconciliation over verdict</w:t>
            </w:r>
          </w:p>
          <w:p>
            <w:pPr>
              <w:spacing w:line="300" w:lineRule="auto"/>
            </w:pPr>
            <w:r>
              <w:rPr>
                <w:rFonts w:ascii="Calibri" w:cs="Calibri" w:eastAsia="Calibri" w:hAnsi="Calibri"/>
                <w:color w:val="141A2B"/>
                <w:sz w:val="20"/>
                <w:szCs w:val="20"/>
              </w:rPr>
              <w:t xml:space="preserve">If the record, the map, and the seller disagree, the disagreement is the finding. We never score the plot. We never say “safe to buy.”</w:t>
            </w:r>
          </w:p>
        </w:tc>
        <w:tc>
          <w:tcPr>
            <w:tcW w:type="dxa" w:w="3120"/>
            <w:tcBorders>
              <w:top w:val="none" w:color="FFFFFF" w:sz="0"/>
              <w:left w:val="none" w:color="FFFFFF" w:sz="0"/>
              <w:bottom w:val="none" w:color="FFFFFF" w:sz="0"/>
              <w:right w:val="none" w:color="FFFFFF" w:sz="0"/>
            </w:tcBorders>
            <w:shd w:fill="FFFFFF" w:color="auto" w:val="clear"/>
            <w:tcMar>
              <w:top w:type="dxa" w:w="160"/>
              <w:left w:type="dxa" w:w="200"/>
              <w:bottom w:type="dxa" w:w="160"/>
              <w:right w:type="dxa" w:w="200"/>
            </w:tcMar>
            <w:vAlign w:val="center"/>
          </w:tcPr>
          <w:p>
            <w:pPr>
              <w:spacing w:after="100"/>
            </w:pPr>
            <w:r>
              <w:rPr>
                <w:rFonts w:ascii="Georgia" w:cs="Georgia" w:eastAsia="Georgia" w:hAnsi="Georgia"/>
                <w:b/>
                <w:bCs/>
                <w:color w:val="B88A2E"/>
                <w:sz w:val="36"/>
                <w:szCs w:val="36"/>
              </w:rPr>
              <w:t xml:space="preserve">03</w:t>
            </w:r>
          </w:p>
          <w:p>
            <w:pPr>
              <w:spacing w:after="120" w:line="300" w:lineRule="auto"/>
            </w:pPr>
            <w:r>
              <w:rPr>
                <w:rFonts w:ascii="Georgia" w:cs="Georgia" w:eastAsia="Georgia" w:hAnsi="Georgia"/>
                <w:b/>
                <w:bCs/>
                <w:color w:val="1B2A4E"/>
                <w:sz w:val="22"/>
                <w:szCs w:val="22"/>
              </w:rPr>
              <w:t xml:space="preserve">English, not Odia legalese</w:t>
            </w:r>
          </w:p>
          <w:p>
            <w:pPr>
              <w:spacing w:line="300" w:lineRule="auto"/>
            </w:pPr>
            <w:r>
              <w:rPr>
                <w:rFonts w:ascii="Calibri" w:cs="Calibri" w:eastAsia="Calibri" w:hAnsi="Calibri"/>
                <w:color w:val="141A2B"/>
                <w:sz w:val="20"/>
                <w:szCs w:val="20"/>
              </w:rPr>
              <w:t xml:space="preserve">Bhulekh, IGR, eCourts and Bhunaksha output in Odia, scattered across five portals. We resolve the script, the village, the plot, and the parties.</w:t>
            </w:r>
          </w:p>
        </w:tc>
      </w:tr>
    </w:tbl>
    <w:p>
      <w:pPr>
        <w:pBdr>
          <w:bottom w:val="single" w:color="1B2A4E" w:sz="8" w:space="4"/>
        </w:pBdr>
        <w:spacing w:after="140" w:before="240" w:line="320" w:lineRule="auto"/>
      </w:pPr>
      <w:r>
        <w:rPr>
          <w:rFonts w:ascii="Calibri" w:cs="Calibri" w:eastAsia="Calibri" w:hAnsi="Calibri"/>
          <w:b/>
          <w:bCs/>
          <w:color w:val="B88A2E"/>
          <w:spacing w:val="60"/>
          <w:sz w:val="16"/>
          <w:szCs w:val="16"/>
        </w:rPr>
        <w:t xml:space="preserve">01 · THE PIPELINE</w:t>
      </w:r>
      <w:r>
        <w:rPr>
          <w:sz w:val="16"/>
          <w:szCs w:val="16"/>
        </w:rPr>
        <w:t xml:space="preserve">  </w:t>
      </w:r>
      <w:r>
        <w:rPr>
          <w:rFonts w:ascii="Georgia" w:cs="Georgia" w:eastAsia="Georgia" w:hAnsi="Georgia"/>
          <w:b/>
          <w:bCs/>
          <w:color w:val="1B2A4E"/>
          <w:sz w:val="28"/>
          <w:szCs w:val="28"/>
        </w:rPr>
        <w:br/>
        <w:t xml:space="preserve">From a plot ID to a 6-section report</w:t>
      </w:r>
    </w:p>
    <w:p>
      <w:pPr>
        <w:spacing w:after="140" w:before="80" w:line="300" w:lineRule="auto"/>
      </w:pPr>
      <w:r>
        <w:rPr>
          <w:rFonts w:ascii="Calibri" w:cs="Calibri" w:eastAsia="Calibri" w:hAnsi="Calibri"/>
          <w:i/>
          <w:iCs/>
          <w:color w:val="5A6B85"/>
          <w:sz w:val="20"/>
          <w:szCs w:val="20"/>
        </w:rPr>
        <w:t xml:space="preserve">Five stages. Each gated. Each cited. Each a separate specialist agent in the council.</w:t>
      </w:r>
    </w:p>
    <w:tbl>
      <w:tblPr>
        <w:tblW w:type="dxa" w:w="9360"/>
        <w:tblBorders>
          <w:top w:val="single" w:color="FFFFFF" w:sz="0"/>
          <w:left w:val="single" w:color="FFFFFF" w:sz="0"/>
          <w:bottom w:val="single" w:color="FFFFFF" w:sz="0"/>
          <w:right w:val="single" w:color="FFFFFF" w:sz="0"/>
          <w:insideH w:val="single" w:color="FFFFFF" w:sz="0"/>
          <w:insideV w:val="single" w:color="FFFFFF" w:sz="0"/>
        </w:tblBorders>
      </w:tblPr>
      <w:tblGrid>
        <w:gridCol w:w="1712"/>
        <w:gridCol w:w="200"/>
        <w:gridCol w:w="1712"/>
        <w:gridCol w:w="200"/>
        <w:gridCol w:w="1712"/>
        <w:gridCol w:w="200"/>
        <w:gridCol w:w="1712"/>
        <w:gridCol w:w="200"/>
        <w:gridCol w:w="1712"/>
      </w:tblGrid>
      <w:tr>
        <w:trPr>
          <w:cantSplit/>
        </w:trPr>
        <w:tc>
          <w:tcPr>
            <w:tcW w:type="dxa" w:w="1712"/>
            <w:tcBorders>
              <w:top w:val="none" w:color="FFFFFF" w:sz="0"/>
              <w:left w:val="none" w:color="FFFFFF" w:sz="0"/>
              <w:bottom w:val="none" w:color="FFFFFF" w:sz="0"/>
              <w:right w:val="none" w:color="FFFFFF" w:sz="0"/>
            </w:tcBorders>
            <w:shd w:fill="1B2A4E" w:color="auto" w:val="clear"/>
            <w:tcMar>
              <w:top w:type="dxa" w:w="160"/>
              <w:left w:type="dxa" w:w="140"/>
              <w:bottom w:type="dxa" w:w="160"/>
              <w:right w:type="dxa" w:w="140"/>
            </w:tcMar>
            <w:vAlign w:val="center"/>
          </w:tcPr>
          <w:p>
            <w:pPr>
              <w:spacing w:after="80"/>
            </w:pPr>
            <w:r>
              <w:rPr>
                <w:rFonts w:ascii="Calibri" w:cs="Calibri" w:eastAsia="Calibri" w:hAnsi="Calibri"/>
                <w:b/>
                <w:bCs/>
                <w:color w:val="D9B85E"/>
                <w:spacing w:val="80"/>
                <w:sz w:val="14"/>
                <w:szCs w:val="14"/>
              </w:rPr>
              <w:t xml:space="preserve">INPUT</w:t>
            </w:r>
          </w:p>
          <w:p>
            <w:pPr>
              <w:spacing w:after="80" w:line="280" w:lineRule="auto"/>
            </w:pPr>
            <w:r>
              <w:rPr>
                <w:rFonts w:ascii="Georgia" w:cs="Georgia" w:eastAsia="Georgia" w:hAnsi="Georgia"/>
                <w:b/>
                <w:bCs/>
                <w:color w:val="FFFFFF"/>
                <w:sz w:val="22"/>
                <w:szCs w:val="22"/>
              </w:rPr>
              <w:t xml:space="preserve">Plot ID</w:t>
            </w:r>
          </w:p>
          <w:p>
            <w:pPr>
              <w:spacing w:line="260" w:lineRule="auto"/>
            </w:pPr>
            <w:r>
              <w:rPr>
                <w:rFonts w:ascii="Calibri" w:cs="Calibri" w:eastAsia="Calibri" w:hAnsi="Calibri"/>
                <w:color w:val="C7CFE0"/>
                <w:sz w:val="16"/>
                <w:szCs w:val="16"/>
              </w:rPr>
              <w:t xml:space="preserve">ULPIN, khatiyan,
tenant, GPS</w:t>
            </w:r>
          </w:p>
        </w:tc>
        <w:tc>
          <w:tcPr>
            <w:tcW w:type="dxa" w:w="200"/>
            <w:tcBorders>
              <w:top w:val="none" w:color="FFFFFF" w:sz="0"/>
              <w:left w:val="none" w:color="FFFFFF" w:sz="0"/>
              <w:bottom w:val="none" w:color="FFFFFF" w:sz="0"/>
              <w:right w:val="none" w:color="FFFFFF" w:sz="0"/>
            </w:tcBorders>
            <w:shd w:fill="FFFFFF" w:color="auto" w:val="clear"/>
            <w:tcMar>
              <w:top w:type="dxa" w:w="0"/>
              <w:left w:type="dxa" w:w="0"/>
              <w:bottom w:type="dxa" w:w="0"/>
              <w:right w:type="dxa" w:w="0"/>
            </w:tcMar>
            <w:vAlign w:val="center"/>
          </w:tcPr>
          <w:p>
            <w:pPr>
              <w:jc w:val="center"/>
            </w:pPr>
            <w:r>
              <w:rPr>
                <w:rFonts w:ascii="Georgia" w:cs="Georgia" w:eastAsia="Georgia" w:hAnsi="Georgia"/>
                <w:b/>
                <w:bCs/>
                <w:color w:val="B88A2E"/>
                <w:sz w:val="36"/>
                <w:szCs w:val="36"/>
              </w:rPr>
              <w:t xml:space="preserve">›</w:t>
            </w:r>
          </w:p>
        </w:tc>
        <w:tc>
          <w:tcPr>
            <w:tcW w:type="dxa" w:w="1712"/>
            <w:tcBorders>
              <w:top w:val="none" w:color="FFFFFF" w:sz="0"/>
              <w:left w:val="none" w:color="FFFFFF" w:sz="0"/>
              <w:bottom w:val="none" w:color="FFFFFF" w:sz="0"/>
              <w:right w:val="none" w:color="FFFFFF" w:sz="0"/>
            </w:tcBorders>
            <w:shd w:fill="0F1A33" w:color="auto" w:val="clear"/>
            <w:tcMar>
              <w:top w:type="dxa" w:w="160"/>
              <w:left w:type="dxa" w:w="140"/>
              <w:bottom w:type="dxa" w:w="160"/>
              <w:right w:type="dxa" w:w="140"/>
            </w:tcMar>
            <w:vAlign w:val="center"/>
          </w:tcPr>
          <w:p>
            <w:pPr>
              <w:spacing w:after="80"/>
            </w:pPr>
            <w:r>
              <w:rPr>
                <w:rFonts w:ascii="Calibri" w:cs="Calibri" w:eastAsia="Calibri" w:hAnsi="Calibri"/>
                <w:b/>
                <w:bCs/>
                <w:color w:val="D9B85E"/>
                <w:spacing w:val="80"/>
                <w:sz w:val="14"/>
                <w:szCs w:val="14"/>
              </w:rPr>
              <w:t xml:space="preserve">RESOLVE</w:t>
            </w:r>
          </w:p>
          <w:p>
            <w:pPr>
              <w:spacing w:after="80" w:line="280" w:lineRule="auto"/>
            </w:pPr>
            <w:r>
              <w:rPr>
                <w:rFonts w:ascii="Georgia" w:cs="Georgia" w:eastAsia="Georgia" w:hAnsi="Georgia"/>
                <w:b/>
                <w:bCs/>
                <w:color w:val="FFFFFF"/>
                <w:sz w:val="22"/>
                <w:szCs w:val="22"/>
              </w:rPr>
              <w:t xml:space="preserve">Find the RoR</w:t>
            </w:r>
          </w:p>
          <w:p>
            <w:pPr>
              <w:spacing w:line="260" w:lineRule="auto"/>
            </w:pPr>
            <w:r>
              <w:rPr>
                <w:rFonts w:ascii="Calibri" w:cs="Calibri" w:eastAsia="Calibri" w:hAnsi="Calibri"/>
                <w:color w:val="C7CFE0"/>
                <w:sz w:val="16"/>
                <w:szCs w:val="16"/>
              </w:rPr>
              <w:t xml:space="preserve">Village, RI circle,
tehsil, khatian</w:t>
            </w:r>
          </w:p>
        </w:tc>
        <w:tc>
          <w:tcPr>
            <w:tcW w:type="dxa" w:w="200"/>
            <w:tcBorders>
              <w:top w:val="none" w:color="FFFFFF" w:sz="0"/>
              <w:left w:val="none" w:color="FFFFFF" w:sz="0"/>
              <w:bottom w:val="none" w:color="FFFFFF" w:sz="0"/>
              <w:right w:val="none" w:color="FFFFFF" w:sz="0"/>
            </w:tcBorders>
            <w:shd w:fill="FFFFFF" w:color="auto" w:val="clear"/>
            <w:tcMar>
              <w:top w:type="dxa" w:w="0"/>
              <w:left w:type="dxa" w:w="0"/>
              <w:bottom w:type="dxa" w:w="0"/>
              <w:right w:type="dxa" w:w="0"/>
            </w:tcMar>
            <w:vAlign w:val="center"/>
          </w:tcPr>
          <w:p>
            <w:pPr>
              <w:jc w:val="center"/>
            </w:pPr>
            <w:r>
              <w:rPr>
                <w:rFonts w:ascii="Georgia" w:cs="Georgia" w:eastAsia="Georgia" w:hAnsi="Georgia"/>
                <w:b/>
                <w:bCs/>
                <w:color w:val="B88A2E"/>
                <w:sz w:val="36"/>
                <w:szCs w:val="36"/>
              </w:rPr>
              <w:t xml:space="preserve">›</w:t>
            </w:r>
          </w:p>
        </w:tc>
        <w:tc>
          <w:tcPr>
            <w:tcW w:type="dxa" w:w="1712"/>
            <w:tcBorders>
              <w:top w:val="none" w:color="FFFFFF" w:sz="0"/>
              <w:left w:val="none" w:color="FFFFFF" w:sz="0"/>
              <w:bottom w:val="none" w:color="FFFFFF" w:sz="0"/>
              <w:right w:val="none" w:color="FFFFFF" w:sz="0"/>
            </w:tcBorders>
            <w:shd w:fill="1B2A4E" w:color="auto" w:val="clear"/>
            <w:tcMar>
              <w:top w:type="dxa" w:w="160"/>
              <w:left w:type="dxa" w:w="140"/>
              <w:bottom w:type="dxa" w:w="160"/>
              <w:right w:type="dxa" w:w="140"/>
            </w:tcMar>
            <w:vAlign w:val="center"/>
          </w:tcPr>
          <w:p>
            <w:pPr>
              <w:spacing w:after="80"/>
            </w:pPr>
            <w:r>
              <w:rPr>
                <w:rFonts w:ascii="Calibri" w:cs="Calibri" w:eastAsia="Calibri" w:hAnsi="Calibri"/>
                <w:b/>
                <w:bCs/>
                <w:color w:val="D9B85E"/>
                <w:spacing w:val="80"/>
                <w:sz w:val="14"/>
                <w:szCs w:val="14"/>
              </w:rPr>
              <w:t xml:space="preserve">PULL</w:t>
            </w:r>
          </w:p>
          <w:p>
            <w:pPr>
              <w:spacing w:after="80" w:line="280" w:lineRule="auto"/>
            </w:pPr>
            <w:r>
              <w:rPr>
                <w:rFonts w:ascii="Georgia" w:cs="Georgia" w:eastAsia="Georgia" w:hAnsi="Georgia"/>
                <w:b/>
                <w:bCs/>
                <w:color w:val="FFFFFF"/>
                <w:sz w:val="22"/>
                <w:szCs w:val="22"/>
              </w:rPr>
              <w:t xml:space="preserve">5 portals</w:t>
            </w:r>
          </w:p>
          <w:p>
            <w:pPr>
              <w:spacing w:line="260" w:lineRule="auto"/>
            </w:pPr>
            <w:r>
              <w:rPr>
                <w:rFonts w:ascii="Calibri" w:cs="Calibri" w:eastAsia="Calibri" w:hAnsi="Calibri"/>
                <w:color w:val="C7CFE0"/>
                <w:sz w:val="16"/>
                <w:szCs w:val="16"/>
              </w:rPr>
              <w:t xml:space="preserve">Bhulekh, IGR, eCourts,
Bhunaksha, overlays</w:t>
            </w:r>
          </w:p>
        </w:tc>
        <w:tc>
          <w:tcPr>
            <w:tcW w:type="dxa" w:w="200"/>
            <w:tcBorders>
              <w:top w:val="none" w:color="FFFFFF" w:sz="0"/>
              <w:left w:val="none" w:color="FFFFFF" w:sz="0"/>
              <w:bottom w:val="none" w:color="FFFFFF" w:sz="0"/>
              <w:right w:val="none" w:color="FFFFFF" w:sz="0"/>
            </w:tcBorders>
            <w:shd w:fill="FFFFFF" w:color="auto" w:val="clear"/>
            <w:tcMar>
              <w:top w:type="dxa" w:w="0"/>
              <w:left w:type="dxa" w:w="0"/>
              <w:bottom w:type="dxa" w:w="0"/>
              <w:right w:type="dxa" w:w="0"/>
            </w:tcMar>
            <w:vAlign w:val="center"/>
          </w:tcPr>
          <w:p>
            <w:pPr>
              <w:jc w:val="center"/>
            </w:pPr>
            <w:r>
              <w:rPr>
                <w:rFonts w:ascii="Georgia" w:cs="Georgia" w:eastAsia="Georgia" w:hAnsi="Georgia"/>
                <w:b/>
                <w:bCs/>
                <w:color w:val="B88A2E"/>
                <w:sz w:val="36"/>
                <w:szCs w:val="36"/>
              </w:rPr>
              <w:t xml:space="preserve">›</w:t>
            </w:r>
          </w:p>
        </w:tc>
        <w:tc>
          <w:tcPr>
            <w:tcW w:type="dxa" w:w="1712"/>
            <w:tcBorders>
              <w:top w:val="none" w:color="FFFFFF" w:sz="0"/>
              <w:left w:val="none" w:color="FFFFFF" w:sz="0"/>
              <w:bottom w:val="none" w:color="FFFFFF" w:sz="0"/>
              <w:right w:val="none" w:color="FFFFFF" w:sz="0"/>
            </w:tcBorders>
            <w:shd w:fill="0F1A33" w:color="auto" w:val="clear"/>
            <w:tcMar>
              <w:top w:type="dxa" w:w="160"/>
              <w:left w:type="dxa" w:w="140"/>
              <w:bottom w:type="dxa" w:w="160"/>
              <w:right w:type="dxa" w:w="140"/>
            </w:tcMar>
            <w:vAlign w:val="center"/>
          </w:tcPr>
          <w:p>
            <w:pPr>
              <w:spacing w:after="80"/>
            </w:pPr>
            <w:r>
              <w:rPr>
                <w:rFonts w:ascii="Calibri" w:cs="Calibri" w:eastAsia="Calibri" w:hAnsi="Calibri"/>
                <w:b/>
                <w:bCs/>
                <w:color w:val="D9B85E"/>
                <w:spacing w:val="80"/>
                <w:sz w:val="14"/>
                <w:szCs w:val="14"/>
              </w:rPr>
              <w:t xml:space="preserve">RECONCILE</w:t>
            </w:r>
          </w:p>
          <w:p>
            <w:pPr>
              <w:spacing w:after="80" w:line="280" w:lineRule="auto"/>
            </w:pPr>
            <w:r>
              <w:rPr>
                <w:rFonts w:ascii="Georgia" w:cs="Georgia" w:eastAsia="Georgia" w:hAnsi="Georgia"/>
                <w:b/>
                <w:bCs/>
                <w:color w:val="FFFFFF"/>
                <w:sz w:val="22"/>
                <w:szCs w:val="22"/>
              </w:rPr>
              <w:t xml:space="preserve">Cross-check</w:t>
            </w:r>
          </w:p>
          <w:p>
            <w:pPr>
              <w:spacing w:line="260" w:lineRule="auto"/>
            </w:pPr>
            <w:r>
              <w:rPr>
                <w:rFonts w:ascii="Calibri" w:cs="Calibri" w:eastAsia="Calibri" w:hAnsi="Calibri"/>
                <w:color w:val="C7CFE0"/>
                <w:sz w:val="16"/>
                <w:szCs w:val="16"/>
              </w:rPr>
              <w:t xml:space="preserve">Owner, area, dates,
plot ID, disputes</w:t>
            </w:r>
          </w:p>
        </w:tc>
        <w:tc>
          <w:tcPr>
            <w:tcW w:type="dxa" w:w="200"/>
            <w:tcBorders>
              <w:top w:val="none" w:color="FFFFFF" w:sz="0"/>
              <w:left w:val="none" w:color="FFFFFF" w:sz="0"/>
              <w:bottom w:val="none" w:color="FFFFFF" w:sz="0"/>
              <w:right w:val="none" w:color="FFFFFF" w:sz="0"/>
            </w:tcBorders>
            <w:shd w:fill="FFFFFF" w:color="auto" w:val="clear"/>
            <w:tcMar>
              <w:top w:type="dxa" w:w="0"/>
              <w:left w:type="dxa" w:w="0"/>
              <w:bottom w:type="dxa" w:w="0"/>
              <w:right w:type="dxa" w:w="0"/>
            </w:tcMar>
            <w:vAlign w:val="center"/>
          </w:tcPr>
          <w:p>
            <w:pPr>
              <w:jc w:val="center"/>
            </w:pPr>
            <w:r>
              <w:rPr>
                <w:rFonts w:ascii="Georgia" w:cs="Georgia" w:eastAsia="Georgia" w:hAnsi="Georgia"/>
                <w:b/>
                <w:bCs/>
                <w:color w:val="B88A2E"/>
                <w:sz w:val="36"/>
                <w:szCs w:val="36"/>
              </w:rPr>
              <w:t xml:space="preserve">›</w:t>
            </w:r>
          </w:p>
        </w:tc>
        <w:tc>
          <w:tcPr>
            <w:tcW w:type="dxa" w:w="1712"/>
            <w:tcBorders>
              <w:top w:val="none" w:color="FFFFFF" w:sz="0"/>
              <w:left w:val="none" w:color="FFFFFF" w:sz="0"/>
              <w:bottom w:val="none" w:color="FFFFFF" w:sz="0"/>
              <w:right w:val="none" w:color="FFFFFF" w:sz="0"/>
            </w:tcBorders>
            <w:shd w:fill="1B2A4E" w:color="auto" w:val="clear"/>
            <w:tcMar>
              <w:top w:type="dxa" w:w="160"/>
              <w:left w:type="dxa" w:w="140"/>
              <w:bottom w:type="dxa" w:w="160"/>
              <w:right w:type="dxa" w:w="140"/>
            </w:tcMar>
            <w:vAlign w:val="center"/>
          </w:tcPr>
          <w:p>
            <w:pPr>
              <w:spacing w:after="80"/>
            </w:pPr>
            <w:r>
              <w:rPr>
                <w:rFonts w:ascii="Calibri" w:cs="Calibri" w:eastAsia="Calibri" w:hAnsi="Calibri"/>
                <w:b/>
                <w:bCs/>
                <w:color w:val="D9B85E"/>
                <w:spacing w:val="80"/>
                <w:sz w:val="14"/>
                <w:szCs w:val="14"/>
              </w:rPr>
              <w:t xml:space="preserve">DELIVER</w:t>
            </w:r>
          </w:p>
          <w:p>
            <w:pPr>
              <w:spacing w:after="80" w:line="280" w:lineRule="auto"/>
            </w:pPr>
            <w:r>
              <w:rPr>
                <w:rFonts w:ascii="Georgia" w:cs="Georgia" w:eastAsia="Georgia" w:hAnsi="Georgia"/>
                <w:b/>
                <w:bCs/>
                <w:color w:val="FFFFFF"/>
                <w:sz w:val="22"/>
                <w:szCs w:val="22"/>
              </w:rPr>
              <w:t xml:space="preserve">6-section PDF</w:t>
            </w:r>
          </w:p>
          <w:p>
            <w:pPr>
              <w:spacing w:line="260" w:lineRule="auto"/>
            </w:pPr>
            <w:r>
              <w:rPr>
                <w:rFonts w:ascii="Calibri" w:cs="Calibri" w:eastAsia="Calibri" w:hAnsi="Calibri"/>
                <w:color w:val="C7CFE0"/>
                <w:sz w:val="16"/>
                <w:szCs w:val="16"/>
              </w:rPr>
              <w:t xml:space="preserve">Plain English,
cited, no verdict</w:t>
            </w:r>
          </w:p>
        </w:tc>
      </w:tr>
    </w:tbl>
    <w:p>
      <w:pPr>
        <w:spacing w:after="160" w:before="0" w:line="240" w:lineRule="auto"/>
      </w:pPr>
      <w:r>
        <w:rPr>
          <w:rFonts w:ascii="Calibri" w:cs="Calibri" w:eastAsia="Calibri" w:hAnsi="Calibri"/>
          <w:color w:val="141A2B"/>
          <w:sz w:val="20"/>
          <w:szCs w:val="20"/>
        </w:rPr>
        <w:t xml:space="preserve"> </w:t>
      </w:r>
    </w:p>
    <w:p>
      <w:pPr>
        <w:pBdr>
          <w:bottom w:val="single" w:color="1B2A4E" w:sz="8" w:space="4"/>
        </w:pBdr>
        <w:spacing w:after="140" w:before="240" w:line="320" w:lineRule="auto"/>
      </w:pPr>
      <w:r>
        <w:rPr>
          <w:rFonts w:ascii="Calibri" w:cs="Calibri" w:eastAsia="Calibri" w:hAnsi="Calibri"/>
          <w:b/>
          <w:bCs/>
          <w:color w:val="B88A2E"/>
          <w:spacing w:val="60"/>
          <w:sz w:val="16"/>
          <w:szCs w:val="16"/>
        </w:rPr>
        <w:t xml:space="preserve">02 · THE SOURCES</w:t>
      </w:r>
      <w:r>
        <w:rPr>
          <w:sz w:val="16"/>
          <w:szCs w:val="16"/>
        </w:rPr>
        <w:t xml:space="preserve">  </w:t>
      </w:r>
      <w:r>
        <w:rPr>
          <w:rFonts w:ascii="Georgia" w:cs="Georgia" w:eastAsia="Georgia" w:hAnsi="Georgia"/>
          <w:b/>
          <w:bCs/>
          <w:color w:val="1B2A4E"/>
          <w:sz w:val="28"/>
          <w:szCs w:val="28"/>
        </w:rPr>
        <w:br/>
        <w:t xml:space="preserve">Where the report's facts come from</w:t>
      </w:r>
    </w:p>
    <w:p>
      <w:pPr>
        <w:spacing w:after="140" w:before="80" w:line="300" w:lineRule="auto"/>
      </w:pPr>
      <w:r>
        <w:rPr>
          <w:rFonts w:ascii="Calibri" w:cs="Calibri" w:eastAsia="Calibri" w:hAnsi="Calibri"/>
          <w:i/>
          <w:iCs/>
          <w:color w:val="5A6B85"/>
          <w:sz w:val="20"/>
          <w:szCs w:val="20"/>
        </w:rPr>
        <w:t xml:space="preserve">Every report is built from a council of public-record sources, each with a known reliability posture. The moat is cross-source reconciliation — not source count.</w:t>
      </w:r>
    </w:p>
    <w:tbl>
      <w:tblPr>
        <w:tblW w:type="dxa" w:w="9360"/>
        <w:tblBorders>
          <w:top w:val="single" w:color="1B2A4E" w:sz="8" w:space="0"/>
          <w:left w:val="single" w:color="C8CFDB" w:sz="4"/>
          <w:bottom w:val="single" w:color="1B2A4E" w:sz="8" w:space="0"/>
          <w:right w:val="single" w:color="C8CFDB" w:sz="4"/>
          <w:insideH w:val="single" w:color="E4E8EF" w:sz="2"/>
          <w:insideV w:val="single" w:color="C8CFDB" w:sz="4"/>
        </w:tblBorders>
      </w:tblPr>
      <w:tblGrid>
        <w:gridCol w:w="2640"/>
        <w:gridCol w:w="1320"/>
        <w:gridCol w:w="5400"/>
      </w:tblGrid>
      <w:tr>
        <w:trPr>
          <w:cantSplit/>
        </w:trPr>
        <w:tc>
          <w:tcPr>
            <w:tcW w:type="dxa" w:w="2640"/>
            <w:tcBorders>
              <w:top w:val="none" w:color="FFFFFF" w:sz="0"/>
              <w:left w:val="none" w:color="FFFFFF" w:sz="0"/>
              <w:bottom w:val="none" w:color="FFFFFF" w:sz="0"/>
              <w:right w:val="none" w:color="FFFFFF" w:sz="0"/>
            </w:tcBorders>
            <w:shd w:fill="1B2A4E" w:color="auto" w:val="clear"/>
            <w:tcMar>
              <w:top w:type="dxa" w:w="140"/>
              <w:left w:type="dxa" w:w="160"/>
              <w:bottom w:type="dxa" w:w="140"/>
              <w:right w:type="dxa" w:w="160"/>
            </w:tcMar>
            <w:vAlign w:val="center"/>
          </w:tcPr>
          <w:p>
            <w:r>
              <w:rPr>
                <w:rFonts w:ascii="Calibri" w:cs="Calibri" w:eastAsia="Calibri" w:hAnsi="Calibri"/>
                <w:b/>
                <w:bCs/>
                <w:color w:val="FFFFFF"/>
                <w:spacing w:val="80"/>
                <w:sz w:val="16"/>
                <w:szCs w:val="16"/>
              </w:rPr>
              <w:t xml:space="preserve">SOURCE</w:t>
            </w:r>
          </w:p>
        </w:tc>
        <w:tc>
          <w:tcPr>
            <w:tcW w:type="dxa" w:w="1320"/>
            <w:tcBorders>
              <w:top w:val="none" w:color="FFFFFF" w:sz="0"/>
              <w:left w:val="none" w:color="FFFFFF" w:sz="0"/>
              <w:bottom w:val="none" w:color="FFFFFF" w:sz="0"/>
              <w:right w:val="none" w:color="FFFFFF" w:sz="0"/>
            </w:tcBorders>
            <w:shd w:fill="1B2A4E" w:color="auto" w:val="clear"/>
            <w:tcMar>
              <w:top w:type="dxa" w:w="140"/>
              <w:left w:type="dxa" w:w="160"/>
              <w:bottom w:type="dxa" w:w="140"/>
              <w:right w:type="dxa" w:w="160"/>
            </w:tcMar>
            <w:vAlign w:val="center"/>
          </w:tcPr>
          <w:p>
            <w:r>
              <w:rPr>
                <w:rFonts w:ascii="Calibri" w:cs="Calibri" w:eastAsia="Calibri" w:hAnsi="Calibri"/>
                <w:b/>
                <w:bCs/>
                <w:color w:val="FFFFFF"/>
                <w:spacing w:val="80"/>
                <w:sz w:val="16"/>
                <w:szCs w:val="16"/>
              </w:rPr>
              <w:t xml:space="preserve">STATUS</w:t>
            </w:r>
          </w:p>
        </w:tc>
        <w:tc>
          <w:tcPr>
            <w:tcW w:type="dxa" w:w="5400"/>
            <w:tcBorders>
              <w:top w:val="none" w:color="FFFFFF" w:sz="0"/>
              <w:left w:val="none" w:color="FFFFFF" w:sz="0"/>
              <w:bottom w:val="none" w:color="FFFFFF" w:sz="0"/>
              <w:right w:val="none" w:color="FFFFFF" w:sz="0"/>
            </w:tcBorders>
            <w:shd w:fill="1B2A4E" w:color="auto" w:val="clear"/>
            <w:tcMar>
              <w:top w:type="dxa" w:w="140"/>
              <w:left w:type="dxa" w:w="160"/>
              <w:bottom w:type="dxa" w:w="140"/>
              <w:right w:type="dxa" w:w="160"/>
            </w:tcMar>
            <w:vAlign w:val="center"/>
          </w:tcPr>
          <w:p>
            <w:r>
              <w:rPr>
                <w:rFonts w:ascii="Calibri" w:cs="Calibri" w:eastAsia="Calibri" w:hAnsi="Calibri"/>
                <w:b/>
                <w:bCs/>
                <w:color w:val="FFFFFF"/>
                <w:spacing w:val="80"/>
                <w:sz w:val="16"/>
                <w:szCs w:val="16"/>
              </w:rPr>
              <w:t xml:space="preserve">WHAT WE EXTRACT</w:t>
            </w:r>
          </w:p>
        </w:tc>
      </w:tr>
      <w:tr>
        <w:trPr>
          <w:cantSplit/>
        </w:trPr>
        <w:tc>
          <w:tcPr>
            <w:tcW w:type="dxa" w:w="264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r>
              <w:rPr>
                <w:rFonts w:ascii="Calibri" w:cs="Calibri" w:eastAsia="Calibri" w:hAnsi="Calibri"/>
                <w:b/>
                <w:bCs/>
                <w:color w:val="141A2B"/>
                <w:sz w:val="20"/>
                <w:szCs w:val="20"/>
              </w:rPr>
              <w:t xml:space="preserve">Bhulekh</w:t>
            </w:r>
          </w:p>
        </w:tc>
        <w:tc>
          <w:tcPr>
            <w:tcW w:type="dxa" w:w="132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r>
              <w:rPr>
                <w:rFonts w:ascii="Calibri" w:cs="Calibri" w:eastAsia="Calibri" w:hAnsi="Calibri"/>
                <w:b/>
                <w:bCs/>
                <w:color w:val="2E6F40"/>
                <w:spacing w:val="60"/>
                <w:sz w:val="16"/>
                <w:szCs w:val="16"/>
              </w:rPr>
              <w:t xml:space="preserve">PRIMARY</w:t>
            </w:r>
          </w:p>
        </w:tc>
        <w:tc>
          <w:tcPr>
            <w:tcW w:type="dxa" w:w="540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pPr>
              <w:spacing w:line="280" w:lineRule="auto"/>
            </w:pPr>
            <w:r>
              <w:rPr>
                <w:rFonts w:ascii="Calibri" w:cs="Calibri" w:eastAsia="Calibri" w:hAnsi="Calibri"/>
                <w:color w:val="141A2B"/>
                <w:sz w:val="18"/>
                <w:szCs w:val="18"/>
              </w:rPr>
              <w:t xml:space="preserve">RoR Front + Back pages; tenant, plot, khatiyan, mutation, kisam, due amounts. Transliterated from Odia, reconciled in English.</w:t>
            </w:r>
          </w:p>
        </w:tc>
      </w:tr>
      <w:tr>
        <w:trPr>
          <w:cantSplit/>
        </w:trPr>
        <w:tc>
          <w:tcPr>
            <w:tcW w:type="dxa" w:w="264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r>
              <w:rPr>
                <w:rFonts w:ascii="Calibri" w:cs="Calibri" w:eastAsia="Calibri" w:hAnsi="Calibri"/>
                <w:b/>
                <w:bCs/>
                <w:color w:val="141A2B"/>
                <w:sz w:val="20"/>
                <w:szCs w:val="20"/>
              </w:rPr>
              <w:t xml:space="preserve">Bhunaksha (ORSAC)</w:t>
            </w:r>
          </w:p>
        </w:tc>
        <w:tc>
          <w:tcPr>
            <w:tcW w:type="dxa" w:w="132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r>
              <w:rPr>
                <w:rFonts w:ascii="Calibri" w:cs="Calibri" w:eastAsia="Calibri" w:hAnsi="Calibri"/>
                <w:b/>
                <w:bCs/>
                <w:color w:val="2E6F40"/>
                <w:spacing w:val="60"/>
                <w:sz w:val="16"/>
                <w:szCs w:val="16"/>
              </w:rPr>
              <w:t xml:space="preserve">PRIMARY</w:t>
            </w:r>
          </w:p>
        </w:tc>
        <w:tc>
          <w:tcPr>
            <w:tcW w:type="dxa" w:w="540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pPr>
              <w:spacing w:line="280" w:lineRule="auto"/>
            </w:pPr>
            <w:r>
              <w:rPr>
                <w:rFonts w:ascii="Calibri" w:cs="Calibri" w:eastAsia="Calibri" w:hAnsi="Calibri"/>
                <w:color w:val="141A2B"/>
                <w:sz w:val="18"/>
                <w:szCs w:val="18"/>
              </w:rPr>
              <w:t xml:space="preserve">Cadastral map and parcel polygon; village boundary; tehsil and RI circle from authoritative map data.</w:t>
            </w:r>
          </w:p>
        </w:tc>
      </w:tr>
      <w:tr>
        <w:trPr>
          <w:cantSplit/>
        </w:trPr>
        <w:tc>
          <w:tcPr>
            <w:tcW w:type="dxa" w:w="264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r>
              <w:rPr>
                <w:rFonts w:ascii="Calibri" w:cs="Calibri" w:eastAsia="Calibri" w:hAnsi="Calibri"/>
                <w:b/>
                <w:bCs/>
                <w:color w:val="141A2B"/>
                <w:sz w:val="20"/>
                <w:szCs w:val="20"/>
              </w:rPr>
              <w:t xml:space="preserve">IGR Odisha</w:t>
            </w:r>
          </w:p>
        </w:tc>
        <w:tc>
          <w:tcPr>
            <w:tcW w:type="dxa" w:w="132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r>
              <w:rPr>
                <w:rFonts w:ascii="Calibri" w:cs="Calibri" w:eastAsia="Calibri" w:hAnsi="Calibri"/>
                <w:b/>
                <w:bCs/>
                <w:color w:val="B88A2E"/>
                <w:spacing w:val="60"/>
                <w:sz w:val="16"/>
                <w:szCs w:val="16"/>
              </w:rPr>
              <w:t xml:space="preserve">CONCIERGE</w:t>
            </w:r>
          </w:p>
        </w:tc>
        <w:tc>
          <w:tcPr>
            <w:tcW w:type="dxa" w:w="540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pPr>
              <w:spacing w:line="280" w:lineRule="auto"/>
            </w:pPr>
            <w:r>
              <w:rPr>
                <w:rFonts w:ascii="Calibri" w:cs="Calibri" w:eastAsia="Calibri" w:hAnsi="Calibri"/>
                <w:color w:val="141A2B"/>
                <w:sz w:val="18"/>
                <w:szCs w:val="18"/>
              </w:rPr>
              <w:t xml:space="preserve">Index-II and Encumbrance Certificate. V1: instructions + structured intake. V1.5+: automated fetch with manual review.</w:t>
            </w:r>
          </w:p>
        </w:tc>
      </w:tr>
      <w:tr>
        <w:trPr>
          <w:cantSplit/>
        </w:trPr>
        <w:tc>
          <w:tcPr>
            <w:tcW w:type="dxa" w:w="264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r>
              <w:rPr>
                <w:rFonts w:ascii="Calibri" w:cs="Calibri" w:eastAsia="Calibri" w:hAnsi="Calibri"/>
                <w:b/>
                <w:bCs/>
                <w:color w:val="141A2B"/>
                <w:sz w:val="20"/>
                <w:szCs w:val="20"/>
              </w:rPr>
              <w:t xml:space="preserve">eCourts</w:t>
            </w:r>
          </w:p>
        </w:tc>
        <w:tc>
          <w:tcPr>
            <w:tcW w:type="dxa" w:w="132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r>
              <w:rPr>
                <w:rFonts w:ascii="Calibri" w:cs="Calibri" w:eastAsia="Calibri" w:hAnsi="Calibri"/>
                <w:b/>
                <w:bCs/>
                <w:color w:val="8A5A2B"/>
                <w:spacing w:val="60"/>
                <w:sz w:val="16"/>
                <w:szCs w:val="16"/>
              </w:rPr>
              <w:t xml:space="preserve">PARTIAL</w:t>
            </w:r>
          </w:p>
        </w:tc>
        <w:tc>
          <w:tcPr>
            <w:tcW w:type="dxa" w:w="540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pPr>
              <w:spacing w:line="280" w:lineRule="auto"/>
            </w:pPr>
            <w:r>
              <w:rPr>
                <w:rFonts w:ascii="Calibri" w:cs="Calibri" w:eastAsia="Calibri" w:hAnsi="Calibri"/>
                <w:color w:val="141A2B"/>
                <w:sz w:val="18"/>
                <w:szCs w:val="18"/>
              </w:rPr>
              <w:t xml:space="preserve">District and High Court case search against the claimed owner and seller-claimed name variants.</w:t>
            </w:r>
          </w:p>
        </w:tc>
      </w:tr>
      <w:tr>
        <w:trPr>
          <w:cantSplit/>
        </w:trPr>
        <w:tc>
          <w:tcPr>
            <w:tcW w:type="dxa" w:w="264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r>
              <w:rPr>
                <w:rFonts w:ascii="Calibri" w:cs="Calibri" w:eastAsia="Calibri" w:hAnsi="Calibri"/>
                <w:b/>
                <w:bCs/>
                <w:color w:val="141A2B"/>
                <w:sz w:val="20"/>
                <w:szCs w:val="20"/>
              </w:rPr>
              <w:t xml:space="preserve">RCCMS</w:t>
            </w:r>
          </w:p>
        </w:tc>
        <w:tc>
          <w:tcPr>
            <w:tcW w:type="dxa" w:w="132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r>
              <w:rPr>
                <w:rFonts w:ascii="Calibri" w:cs="Calibri" w:eastAsia="Calibri" w:hAnsi="Calibri"/>
                <w:b/>
                <w:bCs/>
                <w:color w:val="8A5A2B"/>
                <w:spacing w:val="60"/>
                <w:sz w:val="16"/>
                <w:szCs w:val="16"/>
              </w:rPr>
              <w:t xml:space="preserve">PLACEHOLDER</w:t>
            </w:r>
          </w:p>
        </w:tc>
        <w:tc>
          <w:tcPr>
            <w:tcW w:type="dxa" w:w="540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pPr>
              <w:spacing w:line="280" w:lineRule="auto"/>
            </w:pPr>
            <w:r>
              <w:rPr>
                <w:rFonts w:ascii="Calibri" w:cs="Calibri" w:eastAsia="Calibri" w:hAnsi="Calibri"/>
                <w:color w:val="141A2B"/>
                <w:sz w:val="18"/>
                <w:szCs w:val="18"/>
              </w:rPr>
              <w:t xml:space="preserve">Revenue court case status. Parser ready; live access gated by portal uptime and captcha behaviour.</w:t>
            </w:r>
          </w:p>
        </w:tc>
      </w:tr>
      <w:tr>
        <w:trPr>
          <w:cantSplit/>
        </w:trPr>
        <w:tc>
          <w:tcPr>
            <w:tcW w:type="dxa" w:w="264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r>
              <w:rPr>
                <w:rFonts w:ascii="Calibri" w:cs="Calibri" w:eastAsia="Calibri" w:hAnsi="Calibri"/>
                <w:b/>
                <w:bCs/>
                <w:color w:val="141A2B"/>
                <w:sz w:val="20"/>
                <w:szCs w:val="20"/>
              </w:rPr>
              <w:t xml:space="preserve">CERSAI</w:t>
            </w:r>
          </w:p>
        </w:tc>
        <w:tc>
          <w:tcPr>
            <w:tcW w:type="dxa" w:w="132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r>
              <w:rPr>
                <w:rFonts w:ascii="Calibri" w:cs="Calibri" w:eastAsia="Calibri" w:hAnsi="Calibri"/>
                <w:b/>
                <w:bCs/>
                <w:color w:val="5A6B85"/>
                <w:spacing w:val="60"/>
                <w:sz w:val="16"/>
                <w:szCs w:val="16"/>
              </w:rPr>
              <w:t xml:space="preserve">ROADMAP</w:t>
            </w:r>
          </w:p>
        </w:tc>
        <w:tc>
          <w:tcPr>
            <w:tcW w:type="dxa" w:w="540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pPr>
              <w:spacing w:line="280" w:lineRule="auto"/>
            </w:pPr>
            <w:r>
              <w:rPr>
                <w:rFonts w:ascii="Calibri" w:cs="Calibri" w:eastAsia="Calibri" w:hAnsi="Calibri"/>
                <w:color w:val="141A2B"/>
                <w:sz w:val="18"/>
                <w:szCs w:val="18"/>
              </w:rPr>
              <w:t xml:space="preserve">Central registry of mortgages and security interests on property. V2 add-on.</w:t>
            </w:r>
          </w:p>
        </w:tc>
      </w:tr>
      <w:tr>
        <w:trPr>
          <w:cantSplit/>
        </w:trPr>
        <w:tc>
          <w:tcPr>
            <w:tcW w:type="dxa" w:w="264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r>
              <w:rPr>
                <w:rFonts w:ascii="Calibri" w:cs="Calibri" w:eastAsia="Calibri" w:hAnsi="Calibri"/>
                <w:b/>
                <w:bCs/>
                <w:color w:val="141A2B"/>
                <w:sz w:val="20"/>
                <w:szCs w:val="20"/>
              </w:rPr>
              <w:t xml:space="preserve">RERA Odisha</w:t>
            </w:r>
          </w:p>
        </w:tc>
        <w:tc>
          <w:tcPr>
            <w:tcW w:type="dxa" w:w="132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r>
              <w:rPr>
                <w:rFonts w:ascii="Calibri" w:cs="Calibri" w:eastAsia="Calibri" w:hAnsi="Calibri"/>
                <w:b/>
                <w:bCs/>
                <w:color w:val="5A6B85"/>
                <w:spacing w:val="60"/>
                <w:sz w:val="16"/>
                <w:szCs w:val="16"/>
              </w:rPr>
              <w:t xml:space="preserve">ROADMAP</w:t>
            </w:r>
          </w:p>
        </w:tc>
        <w:tc>
          <w:tcPr>
            <w:tcW w:type="dxa" w:w="5400"/>
            <w:tcBorders>
              <w:top w:val="none" w:color="FFFFFF" w:sz="0"/>
              <w:left w:val="none" w:color="FFFFFF" w:sz="0"/>
              <w:bottom w:val="none" w:color="FFFFFF" w:sz="0"/>
              <w:right w:val="none" w:color="FFFFFF" w:sz="0"/>
            </w:tcBorders>
            <w:shd w:fill="FFFFFF" w:color="auto" w:val="clear"/>
            <w:tcMar>
              <w:top w:type="dxa" w:w="100"/>
              <w:left w:type="dxa" w:w="140"/>
              <w:bottom w:type="dxa" w:w="100"/>
              <w:right w:type="dxa" w:w="140"/>
            </w:tcMar>
            <w:vAlign w:val="center"/>
          </w:tcPr>
          <w:p>
            <w:pPr>
              <w:spacing w:line="280" w:lineRule="auto"/>
            </w:pPr>
            <w:r>
              <w:rPr>
                <w:rFonts w:ascii="Calibri" w:cs="Calibri" w:eastAsia="Calibri" w:hAnsi="Calibri"/>
                <w:color w:val="141A2B"/>
                <w:sz w:val="18"/>
                <w:szCs w:val="18"/>
              </w:rPr>
              <w:t xml:space="preserve">Project and promoter registration. Triggered for marketed layouts, not standalone plots.</w:t>
            </w:r>
          </w:p>
        </w:tc>
      </w:tr>
      <w:tr>
        <w:trPr>
          <w:cantSplit/>
        </w:trPr>
        <w:tc>
          <w:tcPr>
            <w:tcW w:type="dxa" w:w="264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r>
              <w:rPr>
                <w:rFonts w:ascii="Calibri" w:cs="Calibri" w:eastAsia="Calibri" w:hAnsi="Calibri"/>
                <w:b/>
                <w:bCs/>
                <w:color w:val="141A2B"/>
                <w:sz w:val="20"/>
                <w:szCs w:val="20"/>
              </w:rPr>
              <w:t xml:space="preserve">Nominatim + WFS</w:t>
            </w:r>
          </w:p>
        </w:tc>
        <w:tc>
          <w:tcPr>
            <w:tcW w:type="dxa" w:w="132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r>
              <w:rPr>
                <w:rFonts w:ascii="Calibri" w:cs="Calibri" w:eastAsia="Calibri" w:hAnsi="Calibri"/>
                <w:b/>
                <w:bCs/>
                <w:color w:val="5A6B85"/>
                <w:spacing w:val="60"/>
                <w:sz w:val="16"/>
                <w:szCs w:val="16"/>
              </w:rPr>
              <w:t xml:space="preserve">SUPPORTING</w:t>
            </w:r>
          </w:p>
        </w:tc>
        <w:tc>
          <w:tcPr>
            <w:tcW w:type="dxa" w:w="5400"/>
            <w:tcBorders>
              <w:top w:val="none" w:color="FFFFFF" w:sz="0"/>
              <w:left w:val="none" w:color="FFFFFF" w:sz="0"/>
              <w:bottom w:val="none" w:color="FFFFFF" w:sz="0"/>
              <w:right w:val="none" w:color="FFFFFF" w:sz="0"/>
            </w:tcBorders>
            <w:shd w:fill="F9FAFC" w:color="auto" w:val="clear"/>
            <w:tcMar>
              <w:top w:type="dxa" w:w="100"/>
              <w:left w:type="dxa" w:w="140"/>
              <w:bottom w:type="dxa" w:w="100"/>
              <w:right w:type="dxa" w:w="140"/>
            </w:tcMar>
            <w:vAlign w:val="center"/>
          </w:tcPr>
          <w:p>
            <w:pPr>
              <w:spacing w:line="280" w:lineRule="auto"/>
            </w:pPr>
            <w:r>
              <w:rPr>
                <w:rFonts w:ascii="Calibri" w:cs="Calibri" w:eastAsia="Calibri" w:hAnsi="Calibri"/>
                <w:color w:val="141A2B"/>
                <w:sz w:val="18"/>
                <w:szCs w:val="18"/>
              </w:rPr>
              <w:t xml:space="preserve">GPS to location metadata; village boundary cross-check; coordinates for the satellite panel.</w:t>
            </w:r>
          </w:p>
        </w:tc>
      </w:tr>
    </w:tbl>
    <w:p>
      <w:r>
        <w:br w:type="page"/>
      </w:r>
    </w:p>
    <w:tbl>
      <w:tblPr>
        <w:tblW w:type="dxa" w:w="9360"/>
        <w:tblBorders>
          <w:top w:val="single" w:color="FFFFFF" w:sz="0"/>
          <w:left w:val="single" w:color="FFFFFF" w:sz="0"/>
          <w:bottom w:val="single" w:color="B88A2E" w:sz="18" w:space="0"/>
          <w:right w:val="singl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B2A4E" w:color="auto" w:val="clear"/>
            <w:tcMar>
              <w:top w:type="dxa" w:w="200"/>
              <w:left w:type="dxa" w:w="360"/>
              <w:bottom w:type="dxa" w:w="200"/>
              <w:right w:type="dxa" w:w="360"/>
            </w:tcMar>
            <w:vAlign w:val="center"/>
          </w:tcPr>
          <w:p>
            <w:r>
              <w:rPr>
                <w:rFonts w:ascii="Georgia" w:cs="Georgia" w:eastAsia="Georgia" w:hAnsi="Georgia"/>
                <w:b/>
                <w:bCs/>
                <w:color w:val="B88A2E"/>
                <w:spacing w:val="100"/>
                <w:sz w:val="18"/>
                <w:szCs w:val="18"/>
              </w:rPr>
              <w:t xml:space="preserve">CLEARDEED</w:t>
            </w:r>
            <w:r>
              <w:rPr>
                <w:rFonts w:ascii="Georgia" w:cs="Georgia" w:eastAsia="Georgia" w:hAnsi="Georgia"/>
                <w:i/>
                <w:iCs/>
                <w:color w:val="C7CFE0"/>
                <w:sz w:val="18"/>
                <w:szCs w:val="18"/>
              </w:rPr>
              <w:t xml:space="preserve">    ·    Page Two: What the buyer sees, and what the buyer gets.</w:t>
            </w:r>
          </w:p>
        </w:tc>
      </w:tr>
    </w:tbl>
    <w:p>
      <w:pPr>
        <w:spacing w:after="120" w:before="0" w:line="240" w:lineRule="auto"/>
      </w:pPr>
      <w:r>
        <w:rPr>
          <w:rFonts w:ascii="Calibri" w:cs="Calibri" w:eastAsia="Calibri" w:hAnsi="Calibri"/>
          <w:color w:val="141A2B"/>
          <w:sz w:val="20"/>
          <w:szCs w:val="20"/>
        </w:rPr>
        <w:t xml:space="preserve"> </w:t>
      </w:r>
    </w:p>
    <w:tbl>
      <w:tblPr>
        <w:tblW w:type="dxa" w:w="9360"/>
        <w:tblBorders>
          <w:top w:val="single" w:color="FFFFFF" w:sz="0"/>
          <w:left w:val="single" w:color="B88A2E" w:sz="32" w:space="0"/>
          <w:bottom w:val="single" w:color="FFFFFF" w:sz="0"/>
          <w:right w:val="singl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F5F2EA" w:color="auto" w:val="clear"/>
            <w:tcMar>
              <w:top w:type="dxa" w:w="240"/>
              <w:left w:type="dxa" w:w="320"/>
              <w:bottom w:type="dxa" w:w="240"/>
              <w:right w:type="dxa" w:w="320"/>
            </w:tcMar>
            <w:vAlign w:val="center"/>
          </w:tcPr>
          <w:p>
            <w:pPr>
              <w:spacing w:after="120" w:line="360" w:lineRule="auto"/>
            </w:pPr>
            <w:r>
              <w:rPr>
                <w:rFonts w:ascii="Georgia" w:cs="Georgia" w:eastAsia="Georgia" w:hAnsi="Georgia"/>
                <w:b/>
                <w:bCs/>
                <w:color w:val="B88A2E"/>
                <w:sz w:val="56"/>
                <w:szCs w:val="56"/>
              </w:rPr>
              <w:t xml:space="preserve">“</w:t>
            </w:r>
            <w:r>
              <w:rPr>
                <w:rFonts w:ascii="Georgia" w:cs="Georgia" w:eastAsia="Georgia" w:hAnsi="Georgia"/>
                <w:i/>
                <w:iCs/>
                <w:color w:val="141A2B"/>
                <w:sz w:val="26"/>
                <w:szCs w:val="26"/>
              </w:rPr>
              <w:t xml:space="preserve"> The consumer does not want a verdict. They want </w:t>
            </w:r>
            <w:r>
              <w:rPr>
                <w:rFonts w:ascii="Georgia" w:cs="Georgia" w:eastAsia="Georgia" w:hAnsi="Georgia"/>
                <w:b/>
                <w:bCs/>
                <w:i/>
                <w:iCs/>
                <w:color w:val="1B2A4E"/>
                <w:sz w:val="26"/>
                <w:szCs w:val="26"/>
              </w:rPr>
              <w:t xml:space="preserve">informed anxiety.</w:t>
            </w:r>
            <w:r>
              <w:rPr>
                <w:rFonts w:ascii="Georgia" w:cs="Georgia" w:eastAsia="Georgia" w:hAnsi="Georgia"/>
                <w:i/>
                <w:iCs/>
                <w:color w:val="141A2B"/>
                <w:sz w:val="26"/>
                <w:szCs w:val="26"/>
              </w:rPr>
              <w:t xml:space="preserve"> A good ClearDeed report reduces uncertainty on the dimensions that can be verified, and explicitly surfaces the dimensions that cannot — so the buyer knows which questions to ask next.</w:t>
            </w:r>
          </w:p>
          <w:p>
            <w:pPr>
              <w:spacing w:after="0" w:before="100"/>
              <w:jc w:val="right"/>
            </w:pPr>
            <w:r>
              <w:rPr>
                <w:rFonts w:ascii="Calibri" w:cs="Calibri" w:eastAsia="Calibri" w:hAnsi="Calibri"/>
                <w:color w:val="5A6B85"/>
                <w:spacing w:val="20"/>
                <w:sz w:val="16"/>
                <w:szCs w:val="16"/>
              </w:rPr>
              <w:t xml:space="preserve">— PRODUCT.md, §2 (Critical insight for report design)</w:t>
            </w:r>
          </w:p>
        </w:tc>
      </w:tr>
    </w:tbl>
    <w:p>
      <w:pPr>
        <w:spacing w:after="160" w:before="0" w:line="240" w:lineRule="auto"/>
      </w:pPr>
      <w:r>
        <w:rPr>
          <w:rFonts w:ascii="Calibri" w:cs="Calibri" w:eastAsia="Calibri" w:hAnsi="Calibri"/>
          <w:color w:val="141A2B"/>
          <w:sz w:val="20"/>
          <w:szCs w:val="20"/>
        </w:rPr>
        <w:t xml:space="preserve"> </w:t>
      </w:r>
    </w:p>
    <w:p>
      <w:pPr>
        <w:pBdr>
          <w:bottom w:val="single" w:color="1B2A4E" w:sz="8" w:space="4"/>
        </w:pBdr>
        <w:spacing w:after="140" w:before="240" w:line="320" w:lineRule="auto"/>
      </w:pPr>
      <w:r>
        <w:rPr>
          <w:rFonts w:ascii="Calibri" w:cs="Calibri" w:eastAsia="Calibri" w:hAnsi="Calibri"/>
          <w:b/>
          <w:bCs/>
          <w:color w:val="B88A2E"/>
          <w:spacing w:val="60"/>
          <w:sz w:val="16"/>
          <w:szCs w:val="16"/>
        </w:rPr>
        <w:t xml:space="preserve">03 · THE EXTRACTION</w:t>
      </w:r>
      <w:r>
        <w:rPr>
          <w:sz w:val="16"/>
          <w:szCs w:val="16"/>
        </w:rPr>
        <w:t xml:space="preserve">  </w:t>
      </w:r>
      <w:r>
        <w:rPr>
          <w:rFonts w:ascii="Georgia" w:cs="Georgia" w:eastAsia="Georgia" w:hAnsi="Georgia"/>
          <w:b/>
          <w:bCs/>
          <w:color w:val="1B2A4E"/>
          <w:sz w:val="28"/>
          <w:szCs w:val="28"/>
        </w:rPr>
        <w:br/>
        <w:t xml:space="preserve">What we extract from each plot</w:t>
      </w:r>
    </w:p>
    <w:tbl>
      <w:tblPr>
        <w:tblW w:type="dxa" w:w="9360"/>
        <w:tblBorders>
          <w:top w:val="single" w:color="FFFFFF" w:sz="0"/>
          <w:left w:val="single" w:color="FFFFFF" w:sz="0"/>
          <w:bottom w:val="single" w:color="FFFFFF" w:sz="0"/>
          <w:right w:val="single" w:color="FFFFFF" w:sz="0"/>
          <w:insideH w:val="single" w:color="E4E8EF" w:sz="2"/>
          <w:insideV w:val="single" w:color="FFFFFF" w:sz="0"/>
        </w:tblBorders>
      </w:tblPr>
      <w:tblGrid>
        <w:gridCol w:w="2160"/>
        <w:gridCol w:w="7200"/>
      </w:tblGrid>
      <w:tr>
        <w:trPr>
          <w:cantSplit/>
        </w:trPr>
        <w:tc>
          <w:tcPr>
            <w:tcW w:type="dxa" w:w="2160"/>
            <w:tcBorders>
              <w:top w:val="none" w:color="FFFFFF" w:sz="0"/>
              <w:left w:val="none" w:color="FFFFFF" w:sz="0"/>
              <w:bottom w:val="none" w:color="FFFFFF" w:sz="0"/>
              <w:right w:val="none" w:color="FFFFFF" w:sz="0"/>
            </w:tcBorders>
            <w:shd w:fill="EEF1F7"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Identity</w:t>
            </w:r>
          </w:p>
        </w:tc>
        <w:tc>
          <w:tcPr>
            <w:tcW w:type="dxa" w:w="7200"/>
            <w:tcBorders>
              <w:top w:val="none" w:color="FFFFFF" w:sz="0"/>
              <w:left w:val="none" w:color="FFFFFF" w:sz="0"/>
              <w:bottom w:val="none" w:color="FFFFFF" w:sz="0"/>
              <w:right w:val="none" w:color="FFFFFF" w:sz="0"/>
            </w:tcBorders>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Plot ULPIN, khatiyan number, mouza, RI circle, tehsil, district. The official identifiers — not addresses.</w:t>
            </w:r>
          </w:p>
        </w:tc>
      </w:tr>
      <w:tr>
        <w:trPr>
          <w:cantSplit/>
        </w:trPr>
        <w:tc>
          <w:tcPr>
            <w:tcW w:type="dxa" w:w="2160"/>
            <w:tcBorders>
              <w:top w:val="none" w:color="FFFFFF" w:sz="0"/>
              <w:left w:val="none" w:color="FFFFFF" w:sz="0"/>
              <w:bottom w:val="none" w:color="FFFFFF" w:sz="0"/>
              <w:right w:val="none" w:color="FFFFFF" w:sz="0"/>
            </w:tcBorders>
            <w:shd w:fill="EEF1F7"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Owner</w:t>
            </w:r>
          </w:p>
        </w:tc>
        <w:tc>
          <w:tcPr>
            <w:tcW w:type="dxa" w:w="7200"/>
            <w:tcBorders>
              <w:top w:val="none" w:color="FFFFFF" w:sz="0"/>
              <w:left w:val="none" w:color="FFFFFF" w:sz="0"/>
              <w:bottom w:val="none" w:color="FFFFFF" w:sz="0"/>
              <w:right w:val="none" w:color="FFFFFF" w:sz="0"/>
            </w:tcBorders>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Recorded owner in Odia and English transliteration, father's or husband's name, share, joint-ownership flags, tenant-vs-owner distinction.</w:t>
            </w:r>
          </w:p>
        </w:tc>
      </w:tr>
      <w:tr>
        <w:trPr>
          <w:cantSplit/>
        </w:trPr>
        <w:tc>
          <w:tcPr>
            <w:tcW w:type="dxa" w:w="2160"/>
            <w:tcBorders>
              <w:top w:val="none" w:color="FFFFFF" w:sz="0"/>
              <w:left w:val="none" w:color="FFFFFF" w:sz="0"/>
              <w:bottom w:val="none" w:color="FFFFFF" w:sz="0"/>
              <w:right w:val="none" w:color="FFFFFF" w:sz="0"/>
            </w:tcBorders>
            <w:shd w:fill="EEF1F7"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History</w:t>
            </w:r>
          </w:p>
        </w:tc>
        <w:tc>
          <w:tcPr>
            <w:tcW w:type="dxa" w:w="7200"/>
            <w:tcBorders>
              <w:top w:val="none" w:color="FFFFFF" w:sz="0"/>
              <w:left w:val="none" w:color="FFFFFF" w:sz="0"/>
              <w:bottom w:val="none" w:color="FFFFFF" w:sz="0"/>
              <w:right w:val="none" w:color="FFFFFF" w:sz="0"/>
            </w:tcBorders>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Sequence of mutations: sale, gift, inheritance, partition, mortgage. Dates, party names, document numbers — what was transferred and when.</w:t>
            </w:r>
          </w:p>
        </w:tc>
      </w:tr>
      <w:tr>
        <w:trPr>
          <w:cantSplit/>
        </w:trPr>
        <w:tc>
          <w:tcPr>
            <w:tcW w:type="dxa" w:w="2160"/>
            <w:tcBorders>
              <w:top w:val="none" w:color="FFFFFF" w:sz="0"/>
              <w:left w:val="none" w:color="FFFFFF" w:sz="0"/>
              <w:bottom w:val="none" w:color="FFFFFF" w:sz="0"/>
              <w:right w:val="none" w:color="FFFFFF" w:sz="0"/>
            </w:tcBorders>
            <w:shd w:fill="EEF1F7"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Classification</w:t>
            </w:r>
          </w:p>
        </w:tc>
        <w:tc>
          <w:tcPr>
            <w:tcW w:type="dxa" w:w="7200"/>
            <w:tcBorders>
              <w:top w:val="none" w:color="FFFFFF" w:sz="0"/>
              <w:left w:val="none" w:color="FFFFFF" w:sz="0"/>
              <w:bottom w:val="none" w:color="FFFFFF" w:sz="0"/>
              <w:right w:val="none" w:color="FFFFFF" w:sz="0"/>
            </w:tcBorders>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Kisam (revenue class), permitted use, conversion status, buildability notes. Revenue classification is kept distinct from zoning or building permission.</w:t>
            </w:r>
          </w:p>
        </w:tc>
      </w:tr>
      <w:tr>
        <w:trPr>
          <w:cantSplit/>
        </w:trPr>
        <w:tc>
          <w:tcPr>
            <w:tcW w:type="dxa" w:w="2160"/>
            <w:tcBorders>
              <w:top w:val="none" w:color="FFFFFF" w:sz="0"/>
              <w:left w:val="none" w:color="FFFFFF" w:sz="0"/>
              <w:bottom w:val="none" w:color="FFFFFF" w:sz="0"/>
              <w:right w:val="none" w:color="FFFFFF" w:sz="0"/>
            </w:tcBorders>
            <w:shd w:fill="EEF1F7"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Encumbrance</w:t>
            </w:r>
          </w:p>
        </w:tc>
        <w:tc>
          <w:tcPr>
            <w:tcW w:type="dxa" w:w="7200"/>
            <w:tcBorders>
              <w:top w:val="none" w:color="FFFFFF" w:sz="0"/>
              <w:left w:val="none" w:color="FFFFFF" w:sz="0"/>
              <w:bottom w:val="none" w:color="FFFFFF" w:sz="0"/>
              <w:right w:val="none" w:color="FFFFFF" w:sz="0"/>
            </w:tcBorders>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Active mortgages, liens, attachments, and the 30-year history captured in the EC. Includes confidence notes where the EC is manual or partial.</w:t>
            </w:r>
          </w:p>
        </w:tc>
      </w:tr>
      <w:tr>
        <w:trPr>
          <w:cantSplit/>
        </w:trPr>
        <w:tc>
          <w:tcPr>
            <w:tcW w:type="dxa" w:w="2160"/>
            <w:tcBorders>
              <w:top w:val="none" w:color="FFFFFF" w:sz="0"/>
              <w:left w:val="none" w:color="FFFFFF" w:sz="0"/>
              <w:bottom w:val="none" w:color="FFFFFF" w:sz="0"/>
              <w:right w:val="none" w:color="FFFFFF" w:sz="0"/>
            </w:tcBorders>
            <w:shd w:fill="EEF1F7"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Disputes</w:t>
            </w:r>
          </w:p>
        </w:tc>
        <w:tc>
          <w:tcPr>
            <w:tcW w:type="dxa" w:w="7200"/>
            <w:tcBorders>
              <w:top w:val="none" w:color="FFFFFF" w:sz="0"/>
              <w:left w:val="none" w:color="FFFFFF" w:sz="0"/>
              <w:bottom w:val="none" w:color="FFFFFF" w:sz="0"/>
              <w:right w:val="none" w:color="FFFFFF" w:sz="0"/>
            </w:tcBorders>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Court and revenue-court cases linked to the plot, the owner, or seller-claimed name variants — with captcha retries, name-variant fuzzing, and negative-result caveats.</w:t>
            </w:r>
          </w:p>
        </w:tc>
      </w:tr>
      <w:tr>
        <w:trPr>
          <w:cantSplit/>
        </w:trPr>
        <w:tc>
          <w:tcPr>
            <w:tcW w:type="dxa" w:w="2160"/>
            <w:tcBorders>
              <w:top w:val="none" w:color="FFFFFF" w:sz="0"/>
              <w:left w:val="none" w:color="FFFFFF" w:sz="0"/>
              <w:bottom w:val="none" w:color="FFFFFF" w:sz="0"/>
              <w:right w:val="none" w:color="FFFFFF" w:sz="0"/>
            </w:tcBorders>
            <w:shd w:fill="EEF1F7"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Regulatory</w:t>
            </w:r>
          </w:p>
        </w:tc>
        <w:tc>
          <w:tcPr>
            <w:tcW w:type="dxa" w:w="7200"/>
            <w:tcBorders>
              <w:top w:val="none" w:color="FFFFFF" w:sz="0"/>
              <w:left w:val="none" w:color="FFFFFF" w:sz="0"/>
              <w:bottom w:val="none" w:color="FFFFFF" w:sz="0"/>
              <w:right w:val="none" w:color="FFFFFF" w:sz="0"/>
            </w:tcBorders>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Proximity to protected zones: forest, coastal CRZ, PESA tribal, airport, archaeological, flood. Flagged, not certified.</w:t>
            </w:r>
          </w:p>
        </w:tc>
      </w:tr>
      <w:tr>
        <w:trPr>
          <w:cantSplit/>
        </w:trPr>
        <w:tc>
          <w:tcPr>
            <w:tcW w:type="dxa" w:w="2160"/>
            <w:tcBorders>
              <w:top w:val="none" w:color="FFFFFF" w:sz="0"/>
              <w:left w:val="none" w:color="FFFFFF" w:sz="0"/>
              <w:bottom w:val="none" w:color="FFFFFF" w:sz="0"/>
              <w:right w:val="none" w:color="FFFFFF" w:sz="0"/>
            </w:tcBorders>
            <w:shd w:fill="EEF1F7"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Geospatial</w:t>
            </w:r>
          </w:p>
        </w:tc>
        <w:tc>
          <w:tcPr>
            <w:tcW w:type="dxa" w:w="7200"/>
            <w:tcBorders>
              <w:top w:val="none" w:color="FFFFFF" w:sz="0"/>
              <w:left w:val="none" w:color="FFFFFF" w:sz="0"/>
              <w:bottom w:val="none" w:color="FFFFFF" w:sz="0"/>
              <w:right w:val="none" w:color="FFFFFF" w:sz="0"/>
            </w:tcBorders>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Plot polygon on the cadastral map; village boundary; coordinates; satellite view; subdivision context.</w:t>
            </w:r>
          </w:p>
        </w:tc>
      </w:tr>
    </w:tbl>
    <w:p>
      <w:pPr>
        <w:spacing w:after="160" w:before="0" w:line="240" w:lineRule="auto"/>
      </w:pPr>
      <w:r>
        <w:rPr>
          <w:rFonts w:ascii="Calibri" w:cs="Calibri" w:eastAsia="Calibri" w:hAnsi="Calibri"/>
          <w:color w:val="141A2B"/>
          <w:sz w:val="20"/>
          <w:szCs w:val="20"/>
        </w:rPr>
        <w:t xml:space="preserve"> </w:t>
      </w:r>
    </w:p>
    <w:p>
      <w:pPr>
        <w:pBdr>
          <w:bottom w:val="single" w:color="1B2A4E" w:sz="8" w:space="4"/>
        </w:pBdr>
        <w:spacing w:after="140" w:before="240" w:line="320" w:lineRule="auto"/>
      </w:pPr>
      <w:r>
        <w:rPr>
          <w:rFonts w:ascii="Calibri" w:cs="Calibri" w:eastAsia="Calibri" w:hAnsi="Calibri"/>
          <w:b/>
          <w:bCs/>
          <w:color w:val="B88A2E"/>
          <w:spacing w:val="60"/>
          <w:sz w:val="16"/>
          <w:szCs w:val="16"/>
        </w:rPr>
        <w:t xml:space="preserve">04 · THE DELIVERABLE</w:t>
      </w:r>
      <w:r>
        <w:rPr>
          <w:sz w:val="16"/>
          <w:szCs w:val="16"/>
        </w:rPr>
        <w:t xml:space="preserve">  </w:t>
      </w:r>
      <w:r>
        <w:rPr>
          <w:rFonts w:ascii="Georgia" w:cs="Georgia" w:eastAsia="Georgia" w:hAnsi="Georgia"/>
          <w:b/>
          <w:bCs/>
          <w:color w:val="1B2A4E"/>
          <w:sz w:val="28"/>
          <w:szCs w:val="28"/>
        </w:rPr>
        <w:br/>
        <w:t xml:space="preserve">What the customer gets</w:t>
      </w:r>
    </w:p>
    <w:p>
      <w:pPr>
        <w:spacing w:after="140" w:before="80" w:line="300" w:lineRule="auto"/>
      </w:pPr>
      <w:r>
        <w:rPr>
          <w:rFonts w:ascii="Calibri" w:cs="Calibri" w:eastAsia="Calibri" w:hAnsi="Calibri"/>
          <w:i/>
          <w:iCs/>
          <w:color w:val="5A6B85"/>
          <w:sz w:val="20"/>
          <w:szCs w:val="20"/>
        </w:rPr>
        <w:t xml:space="preserve">A 4–6 page report, plain English, mobile-responsive and PDF. Six sections, no verdicts, every fact cited to source, every gap labelled as a manual follow-up.</w:t>
      </w:r>
    </w:p>
    <w:tbl>
      <w:tblPr>
        <w:tblW w:type="dxa" w:w="9360"/>
        <w:tblBorders>
          <w:top w:val="single" w:color="1B2A4E" w:sz="8" w:space="0"/>
          <w:left w:val="single" w:color="C8CFDB" w:sz="4"/>
          <w:bottom w:val="single" w:color="1B2A4E" w:sz="8" w:space="0"/>
          <w:right w:val="single" w:color="C8CFDB" w:sz="4"/>
          <w:insideH w:val="single" w:color="E4E8EF" w:sz="2"/>
          <w:insideV w:val="single" w:color="C8CFDB" w:sz="4"/>
        </w:tblBorders>
      </w:tblPr>
      <w:tblGrid>
        <w:gridCol w:w="560"/>
        <w:gridCol w:w="2520"/>
        <w:gridCol w:w="6280"/>
      </w:tblGrid>
      <w:tr>
        <w:trPr>
          <w:cantSplit/>
        </w:trPr>
        <w:tc>
          <w:tcPr>
            <w:tcW w:type="dxa" w:w="560"/>
            <w:tcBorders>
              <w:top w:val="none" w:color="FFFFFF" w:sz="0"/>
              <w:left w:val="none" w:color="FFFFFF" w:sz="0"/>
              <w:bottom w:val="none" w:color="FFFFFF" w:sz="0"/>
              <w:right w:val="none" w:color="FFFFFF" w:sz="0"/>
            </w:tcBorders>
            <w:shd w:fill="1B2A4E" w:color="auto" w:val="clear"/>
            <w:tcMar>
              <w:top w:type="dxa" w:w="140"/>
              <w:left w:type="dxa" w:w="100"/>
              <w:bottom w:type="dxa" w:w="140"/>
              <w:right w:type="dxa" w:w="100"/>
            </w:tcMar>
            <w:vAlign w:val="center"/>
          </w:tcPr>
          <w:p>
            <w:pPr>
              <w:jc w:val="center"/>
            </w:pPr>
            <w:r>
              <w:rPr>
                <w:rFonts w:ascii="Georgia" w:cs="Georgia" w:eastAsia="Georgia" w:hAnsi="Georgia"/>
                <w:b/>
                <w:bCs/>
                <w:color w:val="B88A2E"/>
                <w:sz w:val="32"/>
                <w:szCs w:val="32"/>
              </w:rPr>
              <w:t xml:space="preserve">1</w:t>
            </w:r>
          </w:p>
        </w:tc>
        <w:tc>
          <w:tcPr>
            <w:tcW w:type="dxa" w:w="2520"/>
            <w:tcBorders>
              <w:top w:val="none" w:color="FFFFFF" w:sz="0"/>
              <w:left w:val="none" w:color="FFFFFF" w:sz="0"/>
              <w:bottom w:val="none" w:color="FFFFFF" w:sz="0"/>
              <w:right w:val="none" w:color="FFFFFF" w:sz="0"/>
            </w:tcBorders>
            <w:shd w:fill="FFFFFF"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The Plot</w:t>
            </w:r>
          </w:p>
        </w:tc>
        <w:tc>
          <w:tcPr>
            <w:tcW w:type="dxa" w:w="6280"/>
            <w:tcBorders>
              <w:top w:val="none" w:color="FFFFFF" w:sz="0"/>
              <w:left w:val="none" w:color="FFFFFF" w:sz="0"/>
              <w:bottom w:val="none" w:color="FFFFFF" w:sz="0"/>
              <w:right w:val="none" w:color="FFFFFF" w:sz="0"/>
            </w:tcBorders>
            <w:shd w:fill="FFFFFF" w:color="auto" w:val="clear"/>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Plot ID, location, what the revenue map shows, satellite context. What matched, what didn't.</w:t>
            </w:r>
          </w:p>
        </w:tc>
      </w:tr>
      <w:tr>
        <w:trPr>
          <w:cantSplit/>
        </w:trPr>
        <w:tc>
          <w:tcPr>
            <w:tcW w:type="dxa" w:w="560"/>
            <w:tcBorders>
              <w:top w:val="none" w:color="FFFFFF" w:sz="0"/>
              <w:left w:val="none" w:color="FFFFFF" w:sz="0"/>
              <w:bottom w:val="none" w:color="FFFFFF" w:sz="0"/>
              <w:right w:val="none" w:color="FFFFFF" w:sz="0"/>
            </w:tcBorders>
            <w:shd w:fill="1B2A4E" w:color="auto" w:val="clear"/>
            <w:tcMar>
              <w:top w:type="dxa" w:w="140"/>
              <w:left w:type="dxa" w:w="100"/>
              <w:bottom w:type="dxa" w:w="140"/>
              <w:right w:type="dxa" w:w="100"/>
            </w:tcMar>
            <w:vAlign w:val="center"/>
          </w:tcPr>
          <w:p>
            <w:pPr>
              <w:jc w:val="center"/>
            </w:pPr>
            <w:r>
              <w:rPr>
                <w:rFonts w:ascii="Georgia" w:cs="Georgia" w:eastAsia="Georgia" w:hAnsi="Georgia"/>
                <w:b/>
                <w:bCs/>
                <w:color w:val="B88A2E"/>
                <w:sz w:val="32"/>
                <w:szCs w:val="32"/>
              </w:rPr>
              <w:t xml:space="preserve">2</w:t>
            </w:r>
          </w:p>
        </w:tc>
        <w:tc>
          <w:tcPr>
            <w:tcW w:type="dxa" w:w="2520"/>
            <w:tcBorders>
              <w:top w:val="none" w:color="FFFFFF" w:sz="0"/>
              <w:left w:val="none" w:color="FFFFFF" w:sz="0"/>
              <w:bottom w:val="none" w:color="FFFFFF" w:sz="0"/>
              <w:right w:val="none" w:color="FFFFFF" w:sz="0"/>
            </w:tcBorders>
            <w:shd w:fill="F9FAFC"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The Owner</w:t>
            </w:r>
          </w:p>
        </w:tc>
        <w:tc>
          <w:tcPr>
            <w:tcW w:type="dxa" w:w="6280"/>
            <w:tcBorders>
              <w:top w:val="none" w:color="FFFFFF" w:sz="0"/>
              <w:left w:val="none" w:color="FFFFFF" w:sz="0"/>
              <w:bottom w:val="none" w:color="FFFFFF" w:sz="0"/>
              <w:right w:val="none" w:color="FFFFFF" w:sz="0"/>
            </w:tcBorders>
            <w:shd w:fill="F9FAFC" w:color="auto" w:val="clear"/>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Recorded owner, family details, joint-ownership notes, owner-vs-tenant distinction, last-update timestamp.</w:t>
            </w:r>
          </w:p>
        </w:tc>
      </w:tr>
      <w:tr>
        <w:trPr>
          <w:cantSplit/>
        </w:trPr>
        <w:tc>
          <w:tcPr>
            <w:tcW w:type="dxa" w:w="560"/>
            <w:tcBorders>
              <w:top w:val="none" w:color="FFFFFF" w:sz="0"/>
              <w:left w:val="none" w:color="FFFFFF" w:sz="0"/>
              <w:bottom w:val="none" w:color="FFFFFF" w:sz="0"/>
              <w:right w:val="none" w:color="FFFFFF" w:sz="0"/>
            </w:tcBorders>
            <w:shd w:fill="1B2A4E" w:color="auto" w:val="clear"/>
            <w:tcMar>
              <w:top w:type="dxa" w:w="140"/>
              <w:left w:type="dxa" w:w="100"/>
              <w:bottom w:type="dxa" w:w="140"/>
              <w:right w:type="dxa" w:w="100"/>
            </w:tcMar>
            <w:vAlign w:val="center"/>
          </w:tcPr>
          <w:p>
            <w:pPr>
              <w:jc w:val="center"/>
            </w:pPr>
            <w:r>
              <w:rPr>
                <w:rFonts w:ascii="Georgia" w:cs="Georgia" w:eastAsia="Georgia" w:hAnsi="Georgia"/>
                <w:b/>
                <w:bCs/>
                <w:color w:val="B88A2E"/>
                <w:sz w:val="32"/>
                <w:szCs w:val="32"/>
              </w:rPr>
              <w:t xml:space="preserve">3</w:t>
            </w:r>
          </w:p>
        </w:tc>
        <w:tc>
          <w:tcPr>
            <w:tcW w:type="dxa" w:w="2520"/>
            <w:tcBorders>
              <w:top w:val="none" w:color="FFFFFF" w:sz="0"/>
              <w:left w:val="none" w:color="FFFFFF" w:sz="0"/>
              <w:bottom w:val="none" w:color="FFFFFF" w:sz="0"/>
              <w:right w:val="none" w:color="FFFFFF" w:sz="0"/>
            </w:tcBorders>
            <w:shd w:fill="FFFFFF"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What you can build here</w:t>
            </w:r>
          </w:p>
        </w:tc>
        <w:tc>
          <w:tcPr>
            <w:tcW w:type="dxa" w:w="6280"/>
            <w:tcBorders>
              <w:top w:val="none" w:color="FFFFFF" w:sz="0"/>
              <w:left w:val="none" w:color="FFFFFF" w:sz="0"/>
              <w:bottom w:val="none" w:color="FFFFFF" w:sz="0"/>
              <w:right w:val="none" w:color="FFFFFF" w:sz="0"/>
            </w:tcBorders>
            <w:shd w:fill="FFFFFF" w:color="auto" w:val="clear"/>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Kisam, permitted use, conversion status, buildability flags, and what permissions are still owed.</w:t>
            </w:r>
          </w:p>
        </w:tc>
      </w:tr>
      <w:tr>
        <w:trPr>
          <w:cantSplit/>
        </w:trPr>
        <w:tc>
          <w:tcPr>
            <w:tcW w:type="dxa" w:w="560"/>
            <w:tcBorders>
              <w:top w:val="none" w:color="FFFFFF" w:sz="0"/>
              <w:left w:val="none" w:color="FFFFFF" w:sz="0"/>
              <w:bottom w:val="none" w:color="FFFFFF" w:sz="0"/>
              <w:right w:val="none" w:color="FFFFFF" w:sz="0"/>
            </w:tcBorders>
            <w:shd w:fill="1B2A4E" w:color="auto" w:val="clear"/>
            <w:tcMar>
              <w:top w:type="dxa" w:w="140"/>
              <w:left w:type="dxa" w:w="100"/>
              <w:bottom w:type="dxa" w:w="140"/>
              <w:right w:type="dxa" w:w="100"/>
            </w:tcMar>
            <w:vAlign w:val="center"/>
          </w:tcPr>
          <w:p>
            <w:pPr>
              <w:jc w:val="center"/>
            </w:pPr>
            <w:r>
              <w:rPr>
                <w:rFonts w:ascii="Georgia" w:cs="Georgia" w:eastAsia="Georgia" w:hAnsi="Georgia"/>
                <w:b/>
                <w:bCs/>
                <w:color w:val="B88A2E"/>
                <w:sz w:val="32"/>
                <w:szCs w:val="32"/>
              </w:rPr>
              <w:t xml:space="preserve">4</w:t>
            </w:r>
          </w:p>
        </w:tc>
        <w:tc>
          <w:tcPr>
            <w:tcW w:type="dxa" w:w="2520"/>
            <w:tcBorders>
              <w:top w:val="none" w:color="FFFFFF" w:sz="0"/>
              <w:left w:val="none" w:color="FFFFFF" w:sz="0"/>
              <w:bottom w:val="none" w:color="FFFFFF" w:sz="0"/>
              <w:right w:val="none" w:color="FFFFFF" w:sz="0"/>
            </w:tcBorders>
            <w:shd w:fill="F9FAFC"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Encumbrances &amp; disputes</w:t>
            </w:r>
          </w:p>
        </w:tc>
        <w:tc>
          <w:tcPr>
            <w:tcW w:type="dxa" w:w="6280"/>
            <w:tcBorders>
              <w:top w:val="none" w:color="FFFFFF" w:sz="0"/>
              <w:left w:val="none" w:color="FFFFFF" w:sz="0"/>
              <w:bottom w:val="none" w:color="FFFFFF" w:sz="0"/>
              <w:right w:val="none" w:color="FFFFFF" w:sz="0"/>
            </w:tcBorders>
            <w:shd w:fill="F9FAFC" w:color="auto" w:val="clear"/>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Court cases, EC status, mutation history, and exactly which records were checked and which require a Sub-Registrar visit.</w:t>
            </w:r>
          </w:p>
        </w:tc>
      </w:tr>
      <w:tr>
        <w:trPr>
          <w:cantSplit/>
        </w:trPr>
        <w:tc>
          <w:tcPr>
            <w:tcW w:type="dxa" w:w="560"/>
            <w:tcBorders>
              <w:top w:val="none" w:color="FFFFFF" w:sz="0"/>
              <w:left w:val="none" w:color="FFFFFF" w:sz="0"/>
              <w:bottom w:val="none" w:color="FFFFFF" w:sz="0"/>
              <w:right w:val="none" w:color="FFFFFF" w:sz="0"/>
            </w:tcBorders>
            <w:shd w:fill="1B2A4E" w:color="auto" w:val="clear"/>
            <w:tcMar>
              <w:top w:type="dxa" w:w="140"/>
              <w:left w:type="dxa" w:w="100"/>
              <w:bottom w:type="dxa" w:w="140"/>
              <w:right w:type="dxa" w:w="100"/>
            </w:tcMar>
            <w:vAlign w:val="center"/>
          </w:tcPr>
          <w:p>
            <w:pPr>
              <w:jc w:val="center"/>
            </w:pPr>
            <w:r>
              <w:rPr>
                <w:rFonts w:ascii="Georgia" w:cs="Georgia" w:eastAsia="Georgia" w:hAnsi="Georgia"/>
                <w:b/>
                <w:bCs/>
                <w:color w:val="B88A2E"/>
                <w:sz w:val="32"/>
                <w:szCs w:val="32"/>
              </w:rPr>
              <w:t xml:space="preserve">5</w:t>
            </w:r>
          </w:p>
        </w:tc>
        <w:tc>
          <w:tcPr>
            <w:tcW w:type="dxa" w:w="2520"/>
            <w:tcBorders>
              <w:top w:val="none" w:color="FFFFFF" w:sz="0"/>
              <w:left w:val="none" w:color="FFFFFF" w:sz="0"/>
              <w:bottom w:val="none" w:color="FFFFFF" w:sz="0"/>
              <w:right w:val="none" w:color="FFFFFF" w:sz="0"/>
            </w:tcBorders>
            <w:shd w:fill="FFFFFF"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Regulatory flags</w:t>
            </w:r>
          </w:p>
        </w:tc>
        <w:tc>
          <w:tcPr>
            <w:tcW w:type="dxa" w:w="6280"/>
            <w:tcBorders>
              <w:top w:val="none" w:color="FFFFFF" w:sz="0"/>
              <w:left w:val="none" w:color="FFFFFF" w:sz="0"/>
              <w:bottom w:val="none" w:color="FFFFFF" w:sz="0"/>
              <w:right w:val="none" w:color="FFFFFF" w:sz="0"/>
            </w:tcBorders>
            <w:shd w:fill="FFFFFF" w:color="auto" w:val="clear"/>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Protected-zone proximity, with caveats. A flag is a question to investigate — not a clearance.</w:t>
            </w:r>
          </w:p>
        </w:tc>
      </w:tr>
      <w:tr>
        <w:trPr>
          <w:cantSplit/>
        </w:trPr>
        <w:tc>
          <w:tcPr>
            <w:tcW w:type="dxa" w:w="560"/>
            <w:tcBorders>
              <w:top w:val="none" w:color="FFFFFF" w:sz="0"/>
              <w:left w:val="none" w:color="FFFFFF" w:sz="0"/>
              <w:bottom w:val="none" w:color="FFFFFF" w:sz="0"/>
              <w:right w:val="none" w:color="FFFFFF" w:sz="0"/>
            </w:tcBorders>
            <w:shd w:fill="1B2A4E" w:color="auto" w:val="clear"/>
            <w:tcMar>
              <w:top w:type="dxa" w:w="140"/>
              <w:left w:type="dxa" w:w="100"/>
              <w:bottom w:type="dxa" w:w="140"/>
              <w:right w:type="dxa" w:w="100"/>
            </w:tcMar>
            <w:vAlign w:val="center"/>
          </w:tcPr>
          <w:p>
            <w:pPr>
              <w:jc w:val="center"/>
            </w:pPr>
            <w:r>
              <w:rPr>
                <w:rFonts w:ascii="Georgia" w:cs="Georgia" w:eastAsia="Georgia" w:hAnsi="Georgia"/>
                <w:b/>
                <w:bCs/>
                <w:color w:val="B88A2E"/>
                <w:sz w:val="32"/>
                <w:szCs w:val="32"/>
              </w:rPr>
              <w:t xml:space="preserve">6</w:t>
            </w:r>
          </w:p>
        </w:tc>
        <w:tc>
          <w:tcPr>
            <w:tcW w:type="dxa" w:w="2520"/>
            <w:tcBorders>
              <w:top w:val="none" w:color="FFFFFF" w:sz="0"/>
              <w:left w:val="none" w:color="FFFFFF" w:sz="0"/>
              <w:bottom w:val="none" w:color="FFFFFF" w:sz="0"/>
              <w:right w:val="none" w:color="FFFFFF" w:sz="0"/>
            </w:tcBorders>
            <w:shd w:fill="F9FAFC" w:color="auto" w:val="clear"/>
            <w:tcMar>
              <w:top w:type="dxa" w:w="140"/>
              <w:left w:type="dxa" w:w="180"/>
              <w:bottom w:type="dxa" w:w="140"/>
              <w:right w:type="dxa" w:w="180"/>
            </w:tcMar>
            <w:vAlign w:val="center"/>
          </w:tcPr>
          <w:p>
            <w:r>
              <w:rPr>
                <w:rFonts w:ascii="Georgia" w:cs="Georgia" w:eastAsia="Georgia" w:hAnsi="Georgia"/>
                <w:b/>
                <w:bCs/>
                <w:color w:val="1B2A4E"/>
                <w:sz w:val="22"/>
                <w:szCs w:val="22"/>
              </w:rPr>
              <w:t xml:space="preserve">What to ask next</w:t>
            </w:r>
          </w:p>
        </w:tc>
        <w:tc>
          <w:tcPr>
            <w:tcW w:type="dxa" w:w="6280"/>
            <w:tcBorders>
              <w:top w:val="none" w:color="FFFFFF" w:sz="0"/>
              <w:left w:val="none" w:color="FFFFFF" w:sz="0"/>
              <w:bottom w:val="none" w:color="FFFFFF" w:sz="0"/>
              <w:right w:val="none" w:color="FFFFFF" w:sz="0"/>
            </w:tcBorders>
            <w:shd w:fill="F9FAFC" w:color="auto" w:val="clear"/>
            <w:tcMar>
              <w:top w:type="dxa" w:w="140"/>
              <w:left w:type="dxa" w:w="200"/>
              <w:bottom w:type="dxa" w:w="140"/>
              <w:right w:type="dxa" w:w="180"/>
            </w:tcMar>
            <w:vAlign w:val="center"/>
          </w:tcPr>
          <w:p>
            <w:pPr>
              <w:spacing w:line="280" w:lineRule="auto"/>
            </w:pPr>
            <w:r>
              <w:rPr>
                <w:rFonts w:ascii="Calibri" w:cs="Calibri" w:eastAsia="Calibri" w:hAnsi="Calibri"/>
                <w:color w:val="141A2B"/>
                <w:sz w:val="20"/>
                <w:szCs w:val="20"/>
              </w:rPr>
              <w:t xml:space="preserve">A specific checklist of questions for the seller, the broker, and a lawyer. The report's primary action.</w:t>
            </w:r>
          </w:p>
        </w:tc>
      </w:tr>
    </w:tbl>
    <w:p>
      <w:pPr>
        <w:spacing w:after="160" w:before="0" w:line="240" w:lineRule="auto"/>
      </w:pPr>
      <w:r>
        <w:rPr>
          <w:rFonts w:ascii="Calibri" w:cs="Calibri" w:eastAsia="Calibri" w:hAnsi="Calibri"/>
          <w:color w:val="141A2B"/>
          <w:sz w:val="20"/>
          <w:szCs w:val="20"/>
        </w:rPr>
        <w:t xml:space="preserve"> </w:t>
      </w:r>
    </w:p>
    <w:p>
      <w:pPr>
        <w:pBdr>
          <w:bottom w:val="single" w:color="1B2A4E" w:sz="8" w:space="4"/>
        </w:pBdr>
        <w:spacing w:after="140" w:before="240" w:line="320" w:lineRule="auto"/>
      </w:pPr>
      <w:r>
        <w:rPr>
          <w:rFonts w:ascii="Calibri" w:cs="Calibri" w:eastAsia="Calibri" w:hAnsi="Calibri"/>
          <w:b/>
          <w:bCs/>
          <w:color w:val="B88A2E"/>
          <w:spacing w:val="60"/>
          <w:sz w:val="16"/>
          <w:szCs w:val="16"/>
        </w:rPr>
        <w:t xml:space="preserve">05 · THE OUTPUT</w:t>
      </w:r>
      <w:r>
        <w:rPr>
          <w:sz w:val="16"/>
          <w:szCs w:val="16"/>
        </w:rPr>
        <w:t xml:space="preserve">  </w:t>
      </w:r>
      <w:r>
        <w:rPr>
          <w:rFonts w:ascii="Georgia" w:cs="Georgia" w:eastAsia="Georgia" w:hAnsi="Georgia"/>
          <w:b/>
          <w:bCs/>
          <w:color w:val="1B2A4E"/>
          <w:sz w:val="28"/>
          <w:szCs w:val="28"/>
        </w:rPr>
        <w:br/>
        <w:t xml:space="preserve">What the report looks like in numbers</w:t>
      </w:r>
    </w:p>
    <w:tbl>
      <w:tblPr>
        <w:tblW w:type="dxa" w:w="9360"/>
        <w:tblBorders>
          <w:top w:val="single" w:color="FFFFFF" w:sz="0"/>
          <w:left w:val="single" w:color="FFFFFF" w:sz="0"/>
          <w:bottom w:val="single" w:color="FFFFFF" w:sz="0"/>
          <w:right w:val="single" w:color="FFFFFF" w:sz="0"/>
          <w:insideH w:val="single" w:color="FFFFFF" w:sz="0"/>
          <w:insideV w:val="single" w:color="0F1A33"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none" w:color="FFFFFF" w:sz="0"/>
            </w:tcBorders>
            <w:shd w:fill="0F1A33" w:color="auto" w:val="clear"/>
            <w:tcMar>
              <w:top w:type="dxa" w:w="200"/>
              <w:left w:type="dxa" w:w="240"/>
              <w:bottom w:type="dxa" w:w="200"/>
              <w:right w:type="dxa" w:w="240"/>
            </w:tcMar>
            <w:vAlign w:val="center"/>
          </w:tcPr>
          <w:p>
            <w:pPr>
              <w:spacing w:after="60"/>
            </w:pPr>
            <w:r>
              <w:rPr>
                <w:rFonts w:ascii="Georgia" w:cs="Georgia" w:eastAsia="Georgia" w:hAnsi="Georgia"/>
                <w:b/>
                <w:bCs/>
                <w:color w:val="B88A2E"/>
                <w:sz w:val="44"/>
                <w:szCs w:val="44"/>
              </w:rPr>
              <w:t xml:space="preserve">4–6</w:t>
            </w:r>
          </w:p>
          <w:p>
            <w:r>
              <w:rPr>
                <w:rFonts w:ascii="Calibri" w:cs="Calibri" w:eastAsia="Calibri" w:hAnsi="Calibri"/>
                <w:b/>
                <w:bCs/>
                <w:color w:val="C7CFE0"/>
                <w:spacing w:val="80"/>
                <w:sz w:val="14"/>
                <w:szCs w:val="14"/>
              </w:rPr>
              <w:t xml:space="preserve">PAGE REPORT</w:t>
            </w:r>
          </w:p>
        </w:tc>
        <w:tc>
          <w:tcPr>
            <w:tcW w:type="dxa" w:w="2340"/>
            <w:tcBorders>
              <w:top w:val="none" w:color="FFFFFF" w:sz="0"/>
              <w:left w:val="none" w:color="FFFFFF" w:sz="0"/>
              <w:bottom w:val="none" w:color="FFFFFF" w:sz="0"/>
              <w:right w:val="none" w:color="FFFFFF" w:sz="0"/>
            </w:tcBorders>
            <w:shd w:fill="1B2A4E" w:color="auto" w:val="clear"/>
            <w:tcMar>
              <w:top w:type="dxa" w:w="200"/>
              <w:left w:type="dxa" w:w="240"/>
              <w:bottom w:type="dxa" w:w="200"/>
              <w:right w:type="dxa" w:w="240"/>
            </w:tcMar>
            <w:vAlign w:val="center"/>
          </w:tcPr>
          <w:p>
            <w:pPr>
              <w:spacing w:after="60"/>
            </w:pPr>
            <w:r>
              <w:rPr>
                <w:rFonts w:ascii="Georgia" w:cs="Georgia" w:eastAsia="Georgia" w:hAnsi="Georgia"/>
                <w:b/>
                <w:bCs/>
                <w:color w:val="B88A2E"/>
                <w:sz w:val="44"/>
                <w:szCs w:val="44"/>
              </w:rPr>
              <w:t xml:space="preserve">5</w:t>
            </w:r>
          </w:p>
          <w:p>
            <w:r>
              <w:rPr>
                <w:rFonts w:ascii="Calibri" w:cs="Calibri" w:eastAsia="Calibri" w:hAnsi="Calibri"/>
                <w:b/>
                <w:bCs/>
                <w:color w:val="C7CFE0"/>
                <w:spacing w:val="80"/>
                <w:sz w:val="14"/>
                <w:szCs w:val="14"/>
              </w:rPr>
              <w:t xml:space="preserve">SOURCE FAMILIES</w:t>
            </w:r>
          </w:p>
        </w:tc>
        <w:tc>
          <w:tcPr>
            <w:tcW w:type="dxa" w:w="2340"/>
            <w:tcBorders>
              <w:top w:val="none" w:color="FFFFFF" w:sz="0"/>
              <w:left w:val="none" w:color="FFFFFF" w:sz="0"/>
              <w:bottom w:val="none" w:color="FFFFFF" w:sz="0"/>
              <w:right w:val="none" w:color="FFFFFF" w:sz="0"/>
            </w:tcBorders>
            <w:shd w:fill="0F1A33" w:color="auto" w:val="clear"/>
            <w:tcMar>
              <w:top w:type="dxa" w:w="200"/>
              <w:left w:type="dxa" w:w="240"/>
              <w:bottom w:type="dxa" w:w="200"/>
              <w:right w:type="dxa" w:w="240"/>
            </w:tcMar>
            <w:vAlign w:val="center"/>
          </w:tcPr>
          <w:p>
            <w:pPr>
              <w:spacing w:after="60"/>
            </w:pPr>
            <w:r>
              <w:rPr>
                <w:rFonts w:ascii="Georgia" w:cs="Georgia" w:eastAsia="Georgia" w:hAnsi="Georgia"/>
                <w:b/>
                <w:bCs/>
                <w:color w:val="B88A2E"/>
                <w:sz w:val="44"/>
                <w:szCs w:val="44"/>
              </w:rPr>
              <w:t xml:space="preserve">0</w:t>
            </w:r>
          </w:p>
          <w:p>
            <w:r>
              <w:rPr>
                <w:rFonts w:ascii="Calibri" w:cs="Calibri" w:eastAsia="Calibri" w:hAnsi="Calibri"/>
                <w:b/>
                <w:bCs/>
                <w:color w:val="C7CFE0"/>
                <w:spacing w:val="80"/>
                <w:sz w:val="14"/>
                <w:szCs w:val="14"/>
              </w:rPr>
              <w:t xml:space="preserve">VERDICTS GIVEN</w:t>
            </w:r>
          </w:p>
        </w:tc>
        <w:tc>
          <w:tcPr>
            <w:tcW w:type="dxa" w:w="2340"/>
            <w:tcBorders>
              <w:top w:val="none" w:color="FFFFFF" w:sz="0"/>
              <w:left w:val="none" w:color="FFFFFF" w:sz="0"/>
              <w:bottom w:val="none" w:color="FFFFFF" w:sz="0"/>
              <w:right w:val="none" w:color="FFFFFF" w:sz="0"/>
            </w:tcBorders>
            <w:shd w:fill="1B2A4E" w:color="auto" w:val="clear"/>
            <w:tcMar>
              <w:top w:type="dxa" w:w="200"/>
              <w:left w:type="dxa" w:w="240"/>
              <w:bottom w:type="dxa" w:w="200"/>
              <w:right w:type="dxa" w:w="240"/>
            </w:tcMar>
            <w:vAlign w:val="center"/>
          </w:tcPr>
          <w:p>
            <w:pPr>
              <w:spacing w:after="60"/>
            </w:pPr>
            <w:r>
              <w:rPr>
                <w:rFonts w:ascii="Georgia" w:cs="Georgia" w:eastAsia="Georgia" w:hAnsi="Georgia"/>
                <w:b/>
                <w:bCs/>
                <w:color w:val="B88A2E"/>
                <w:sz w:val="44"/>
                <w:szCs w:val="44"/>
              </w:rPr>
              <w:t xml:space="preserve">₹499</w:t>
            </w:r>
          </w:p>
          <w:p>
            <w:r>
              <w:rPr>
                <w:rFonts w:ascii="Calibri" w:cs="Calibri" w:eastAsia="Calibri" w:hAnsi="Calibri"/>
                <w:b/>
                <w:bCs/>
                <w:color w:val="C7CFE0"/>
                <w:spacing w:val="80"/>
                <w:sz w:val="14"/>
                <w:szCs w:val="14"/>
              </w:rPr>
              <w:t xml:space="preserve">PER REPORT</w:t>
            </w:r>
          </w:p>
        </w:tc>
      </w:tr>
    </w:tbl>
    <w:p>
      <w:pPr>
        <w:spacing w:after="160" w:before="0" w:line="240" w:lineRule="auto"/>
      </w:pPr>
      <w:r>
        <w:rPr>
          <w:rFonts w:ascii="Calibri" w:cs="Calibri" w:eastAsia="Calibri" w:hAnsi="Calibri"/>
          <w:color w:val="141A2B"/>
          <w:sz w:val="20"/>
          <w:szCs w:val="20"/>
        </w:rPr>
        <w:t xml:space="preserve"> </w:t>
      </w:r>
    </w:p>
    <w:tbl>
      <w:tblPr>
        <w:tblW w:type="dxa" w:w="9360"/>
        <w:tblBorders>
          <w:top w:val="single" w:color="B88A2E" w:sz="4" w:space="0"/>
          <w:left w:val="single" w:color="FFFFFF" w:sz="0"/>
          <w:bottom w:val="single" w:color="B88A2E" w:sz="4" w:space="0"/>
          <w:right w:val="singl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F5F2EA" w:color="auto" w:val="clear"/>
            <w:tcMar>
              <w:top w:type="dxa" w:w="200"/>
              <w:left w:type="dxa" w:w="240"/>
              <w:bottom w:type="dxa" w:w="200"/>
              <w:right w:type="dxa" w:w="240"/>
            </w:tcMar>
            <w:vAlign w:val="center"/>
          </w:tcPr>
          <w:p>
            <w:pPr>
              <w:spacing w:after="100"/>
            </w:pPr>
            <w:r>
              <w:rPr>
                <w:rFonts w:ascii="Calibri" w:cs="Calibri" w:eastAsia="Calibri" w:hAnsi="Calibri"/>
                <w:b/>
                <w:bCs/>
                <w:color w:val="B88A2E"/>
                <w:spacing w:val="100"/>
                <w:sz w:val="14"/>
                <w:szCs w:val="14"/>
              </w:rPr>
              <w:t xml:space="preserve">LIABILITY FRAME</w:t>
            </w:r>
          </w:p>
          <w:p>
            <w:pPr>
              <w:spacing w:line="300" w:lineRule="auto"/>
            </w:pPr>
            <w:r>
              <w:rPr>
                <w:rFonts w:ascii="Calibri" w:cs="Calibri" w:eastAsia="Calibri" w:hAnsi="Calibri"/>
                <w:color w:val="141A2B"/>
                <w:sz w:val="18"/>
                <w:szCs w:val="18"/>
              </w:rPr>
              <w:t xml:space="preserve">ClearDeed reports structured facts from public records and flags inconsistencies. It does not certify title, guarantee against fraud, recommend transactions, or substitute for legal or professional advice. Every report visibly carries this disclaimer in consumer-grade language. A report that says “everything is clear, go ahead” is not a ClearDeed report.</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FDB" w:sz="4" w:space="6"/>
      </w:pBdr>
      <w:tabs>
        <w:tab w:val="center" w:pos="4680"/>
        <w:tab w:val="right" w:pos="9026"/>
      </w:tabs>
      <w:spacing w:after="0" w:before="0" w:line="240" w:lineRule="auto"/>
    </w:pPr>
    <w:r>
      <w:rPr>
        <w:rFonts w:ascii="Calibri" w:cs="Calibri" w:eastAsia="Calibri" w:hAnsi="Calibri"/>
        <w:color w:val="5A6B85"/>
        <w:sz w:val="14"/>
        <w:szCs w:val="14"/>
      </w:rPr>
      <w:t xml:space="preserve">ClearDeed  ·  cleardeed.in</w:t>
    </w:r>
    <w:r>
      <w:rPr>
        <w:rFonts w:ascii="Calibri" w:cs="Calibri" w:eastAsia="Calibri" w:hAnsi="Calibri"/>
        <w:sz w:val="14"/>
        <w:szCs w:val="14"/>
      </w:rPr>
      <w:t xml:space="preserve">	</w:t>
    </w:r>
    <w:r>
      <w:rPr>
        <w:rFonts w:ascii="Calibri" w:cs="Calibri" w:eastAsia="Calibri" w:hAnsi="Calibri"/>
        <w:color w:val="5A6B85"/>
        <w:sz w:val="14"/>
        <w:szCs w:val="14"/>
      </w:rPr>
      <w:t xml:space="preserve">Executive Brief  ·  June 2026</w:t>
    </w:r>
    <w:r>
      <w:rPr>
        <w:rFonts w:ascii="Calibri" w:cs="Calibri" w:eastAsia="Calibri" w:hAnsi="Calibri"/>
        <w:sz w:val="14"/>
        <w:szCs w:val="14"/>
      </w:rPr>
      <w:t xml:space="preserve">	</w:t>
    </w:r>
    <w:r>
      <w:rPr>
        <w:rFonts w:ascii="Calibri" w:cs="Calibri" w:eastAsia="Calibri" w:hAnsi="Calibri"/>
        <w:color w:val="5A6B85"/>
        <w:sz w:val="14"/>
        <w:szCs w:val="14"/>
      </w:rPr>
      <w:t xml:space="preserve">Page </w:t>
    </w:r>
    <w:r>
      <w:rPr>
        <w:rFonts w:ascii="Calibri" w:cs="Calibri" w:eastAsia="Calibri" w:hAnsi="Calibri"/>
        <w:b/>
        <w:bCs/>
        <w:color w:val="1B2A4E"/>
        <w:sz w:val="14"/>
        <w:szCs w:val="14"/>
      </w:rPr>
      <w:fldChar w:fldCharType="begin"/>
      <w:instrText xml:space="preserve">PAGE</w:instrText>
      <w:fldChar w:fldCharType="separate"/>
      <w:fldChar w:fldCharType="end"/>
    </w:r>
    <w:r>
      <w:rPr>
        <w:rFonts w:ascii="Calibri" w:cs="Calibri" w:eastAsia="Calibri" w:hAnsi="Calibri"/>
        <w:color w:val="5A6B85"/>
        <w:sz w:val="14"/>
        <w:szCs w:val="14"/>
      </w:rPr>
      <w:t xml:space="preserve"> of </w:t>
    </w:r>
    <w:r>
      <w:rPr>
        <w:rFonts w:ascii="Calibri" w:cs="Calibri" w:eastAsia="Calibri" w:hAnsi="Calibri"/>
        <w:b/>
        <w:bCs/>
        <w:color w:val="1B2A4E"/>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A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ClearDeed — Executive Brief</dc:title>
  <dc:creator>ClearDeed</dc:creator>
  <dc:description>What ClearDeed does, the sources it touches, what it extracts, and what the customer receives.</dc:description>
  <cp:lastModifiedBy>Un-named</cp:lastModifiedBy>
  <cp:revision>1</cp:revision>
  <dcterms:created xsi:type="dcterms:W3CDTF">2026-06-16T23:43:10.597Z</dcterms:created>
  <dcterms:modified xsi:type="dcterms:W3CDTF">2026-06-16T23:43:10.599Z</dcterms:modified>
</cp:coreProperties>
</file>

<file path=docProps/custom.xml><?xml version="1.0" encoding="utf-8"?>
<Properties xmlns="http://schemas.openxmlformats.org/officeDocument/2006/custom-properties" xmlns:vt="http://schemas.openxmlformats.org/officeDocument/2006/docPropsVTypes"/>
</file>