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4B5"/>
          <w:sz w:val="40"/>
          <w:szCs w:val="40"/>
        </w:rPr>
        <w:t xml:space="preserve">Second Line of Defense (2LoD) Findings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04040"/>
          <w:sz w:val="32"/>
          <w:szCs w:val="32"/>
        </w:rPr>
        <w:t xml:space="preserve">Second Review Meeting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Data Risk Register — Review &amp; Reclassification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Reviewer (2LoD)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Anshul</w:t>
            </w:r>
          </w:p>
        </w:tc>
      </w:tr>
      <w:tr>
        <w:tc>
          <w:tcPr>
            <w:tcW w:type="dxa" w:w="2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Meeting 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of Data Risk Register — Risk Classification &amp; Reclassification</w:t>
            </w:r>
          </w:p>
        </w:tc>
      </w:tr>
      <w:tr>
        <w:tc>
          <w:tcPr>
            <w:tcW w:type="dxa" w:w="2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Attendees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Related Assessment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Intermediaries — Data Risk Assessment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 Data Movement Risk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1.1 Definition &amp; Scope (Confirmed by Anshul)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Applies only when data is transferred over a network from one server to another.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Within MX systems sharing the same infrastructure (e.g. same Informatica server), data movement risk does NOT apply, even if logical system names or IDs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movement risk definitely applies when Amex exchanges data with an external party.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1.2 What Constitutes Data Movement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Sender sends correct data, but receiver receives incorrect or incomplete data due to a network issue (e.g. data loss, corruption, man-in-the-middle attack).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Example: Sender sends 100 records; receiver receives only 90. The 10 records lost in transit = data movement risk.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Control: Receiver should implement a balance-and-check / reconciliation to verify what was sent equals what was received.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1.3 What Does NOT Constitute Data Movement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ETL transformations and data processing risks are NOT data movement risk — they fall under Data Quality.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Tokenization of a recipient wallet identifier before transmission is NOT a data movement risk (confirmed by Anshul).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Any wording in the register describing ETL transformation as a data movement risk must be corrected.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1.4 Action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Re-examine ALL items currently tagged as Data Movement Risk.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issue is ETL/transformation-related — reclassify to Data Quality.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issue is network/transfer-related — retain as Data Movement.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 Data Quality Risk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2.1 Transformation-Related Quality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Incomplete data: An attribute present in input is not mapped to output (e.g. customer email ID missing in transformation output).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Incorrect data: Wrong lookup coded in transformation (e.g. customer ID maps to wrong customer name from reference source).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the sender itself sends incorrect data, that is a Data Quality risk, not a Data Movement risk.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2.2 Recurring Risk Themes Identified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Schema Mismatch: Marketplace proprietary feed schema incompatible with Amex canonical data model.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Note: Anshul flagged potential overlap with Data Architecture. Flag for possible reclassification — do not move without further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Stale Reference Data: Seller reference data not being kept updated.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Duplicates: Duplication issues for marketplace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Incorrect/incomplete data received due to transformation failures.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 Data Sharing Risk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3.1 When It Applies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data moves between Amex and an external party (inbound or outbound).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Does NOT apply for data moving within MX systems on shared infrastructure.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3.2 Two Dimensions (Both Must Be Captured in Register)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Dimension 1 — Completeness: No formal data sharing agreement exists.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Dimension 2 — Accuracy/Adequacy: Agreement exists but does not cover all required elements correctly.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Anshul confirmed: currently only Dimension 1 is captured. Dimension 2 must be added.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 Data Architecture Risk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4.1 Definition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Applies when a data model or system design is insufficient, not scalable, or not future-proof.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Example: A data model unable to hold all information required by downstream or reporting systems, discovered too late to change without cascading application impact.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4.2 Scope for This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payment intermediaries dealing with interacting systems, Anshul’s view is this should largely be handled at the enterprise application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the assessed system is designing its own data model, those architecture risks should still be called 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Some infrastructure-related items in the register may be movable to Data Architecture. Retain current placement for now and flag for potential reclassification.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4.3 Schema Mismatch Overlap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Schema mismatch items (canonical data model incompatibility) may overlap with Data Architecture.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reclassify without further confirmation. Note the overlap in the register.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 Data Retention Risk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5.1 Risk Dimensions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Premature disposal: Records deleted before the required retention period.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Retention beyond regulatory requirement: Records kept longer than permitted.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dimensions apply across all nine models reviewed.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5.2 Legal Hold — Additional Dimension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 legal hold is in place, records must be retained until the hold is lifted, regardless of standard retention schedules.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Legal holds are declared and communicated by a separate team, formerly GRM (Global Record Management), now part of EDRM.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legal hold as an additional retention risk dimension in the register.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 Data Stewardship &amp; Governance Risk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6.1 Recurring Themes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data accountability framework across the seller → marketplace → exchange transaction chain.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defined data ownership at key handoff points between 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lineage gaps: Lack of traceability across the full transaction flow.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6.2 Open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Critical Data Element (CDE) designation to be verified with the CDO.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7. Controls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the preliminary draft, it is appropriate to rely on the standard EDO RCSA/RA data control catalog for L4-corresponding controls.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a formal review, if controls are found insufficient or a risk is introduced by a missing control, additional controls will be identified at that stage.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Anshul confirmed: standard catalog is acceptable for now; deeper review will follow.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8. Consolidated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30"/>
        <w:gridCol w:w="2340"/>
        <w:gridCol w:w="1590"/>
      </w:tblGrid>
      <w:tr>
        <w:tc>
          <w:tcPr>
            <w:tcW w:type="dxa" w:w="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93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34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Category</w:t>
            </w:r>
          </w:p>
        </w:tc>
        <w:tc>
          <w:tcPr>
            <w:tcW w:type="dxa" w:w="159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Re-examine all items tagged as Data Movement. Reclassify ETL/transformation items to Data Quality.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Movement / Data Quality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Dimension 2 to Data Sharing risk: adequacy/accuracy of existing agreement (not just absence of agreement).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Sharing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schema mismatch items for potential overlap with Data Architecture. Do not reclassify without further confirmation.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Quality / Data Architecture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Retain infrastructure-related items in current category for now; note potential reclassification to Data Architecture.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Architecture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Critical Data Element (CDE) designation with the CDO.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Stewardship &amp; Governance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legal hold dimension to data retention risk framing (EDRM team as reference).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2026-06-23T09:52:04.746Z</dcterms:created>
  <dcterms:modified xsi:type="dcterms:W3CDTF">2026-06-23T09:52:04.746Z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