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00"/>
        <w:jc w:val="center"/>
      </w:pPr>
      <w:r>
        <w:rPr>
          <w:rFonts w:ascii="Arial" w:hAnsi="Arial"/>
          <w:b/>
          <w:color w:val="13357B"/>
          <w:sz w:val="26"/>
        </w:rPr>
        <w:t>INSTITUTO DE EDUCACIÓN SUPERIOR TECNOLÓGICO PÚBLICO</w:t>
        <w:br/>
        <w:t>"HERMANOS CÁRCAMO" — PAITA, PIURA</w:t>
      </w:r>
    </w:p>
    <w:p>
      <w:pPr>
        <w:jc w:val="center"/>
      </w:pPr>
    </w:p>
    <w:p>
      <w:pPr>
        <w:spacing w:after="500"/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r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b/>
          <w:color w:val="13357B"/>
          <w:sz w:val="44"/>
        </w:rPr>
        <w:t>INFORME TÉCNICO Y MEMORIA DESCRIPTIVA</w:t>
      </w:r>
    </w:p>
    <w:p>
      <w:pPr>
        <w:spacing w:after="900"/>
        <w:jc w:val="center"/>
      </w:pPr>
      <w:r>
        <w:rPr>
          <w:rFonts w:ascii="Arial" w:hAnsi="Arial"/>
          <w:color w:val="2563EB"/>
          <w:sz w:val="27"/>
        </w:rPr>
        <w:t>Desarrollo e Implementación del Asistente Virtual Inteligente</w:t>
        <w:br/>
        <w:t>y Orientador Vocacional "HercarIA"</w:t>
      </w:r>
    </w:p>
    <w:p>
      <w:pPr>
        <w:jc w:val="center"/>
      </w:pPr>
      <w:r>
        <w:rPr>
          <w:b/>
          <w:sz w:val="22"/>
        </w:rPr>
        <w:t>Autor / Desarrollador:</w:t>
        <w:br/>
      </w:r>
      <w:r>
        <w:rPr>
          <w:sz w:val="24"/>
        </w:rPr>
        <w:t>Gerson Misael Pintado Huamán (GMPH2007)</w:t>
        <w:br/>
        <w:br/>
      </w:r>
      <w:r>
        <w:rPr>
          <w:b/>
          <w:sz w:val="20"/>
        </w:rPr>
        <w:t>Repositorio Oficial en GitHub:</w:t>
        <w:br/>
      </w:r>
      <w:r>
        <w:rPr>
          <w:color w:val="2563EB"/>
          <w:sz w:val="20"/>
        </w:rPr>
        <w:t>https://github.com/GMPH2007/HercarBOT</w:t>
        <w:br/>
        <w:br/>
      </w:r>
      <w:r>
        <w:rPr>
          <w:b/>
          <w:sz w:val="20"/>
        </w:rPr>
        <w:t>Despliegue Web en Vivo (GitHub Pages):</w:t>
        <w:br/>
      </w:r>
      <w:r>
        <w:rPr>
          <w:color w:val="2563EB"/>
          <w:sz w:val="20"/>
        </w:rPr>
        <w:t>https://gmph2007.github.io/HercarBOT/</w:t>
        <w:br/>
        <w:br/>
      </w:r>
      <w:r>
        <w:rPr>
          <w:b/>
          <w:color w:val="64748B"/>
          <w:sz w:val="22"/>
        </w:rPr>
        <w:t>Paita — Piura, Perú</w:t>
        <w:br/>
        <w:t>2026</w:t>
      </w:r>
    </w:p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1. RESUMEN EJECUTIVO</w:t>
      </w:r>
    </w:p>
    <w:p>
      <w:pPr>
        <w:spacing w:after="120" w:line="276" w:lineRule="auto"/>
      </w:pPr>
      <w:r>
        <w:rPr>
          <w:rFonts w:ascii="Arial" w:hAnsi="Arial"/>
          <w:sz w:val="21"/>
        </w:rPr>
        <w:t>El presente documento técnico describe el diseño, arquitectura, desarrollo y puesta en producción de "HercarIA", el sistema interactivo de inteligencia artificial y orientación vocacional creado para el Instituto de Educación Superior Tecnológico Público "Hermanos Cárcamo" de Paita.</w:t>
      </w:r>
    </w:p>
    <w:p>
      <w:pPr>
        <w:spacing w:after="120" w:line="276" w:lineRule="auto"/>
      </w:pPr>
      <w:r>
        <w:rPr>
          <w:rFonts w:ascii="Arial" w:hAnsi="Arial"/>
          <w:sz w:val="21"/>
        </w:rPr>
        <w:t>HercarIA proporciona atención continua y personalizada a postulantes, alumnos regulares y padres de familia a través de una interfaz moderna inspirada en ChatGPT, integrando capacidades de procesamiento de lenguaje natural (NLP), síntesis de voz femenina neural humana (es-ES-ElviraNeural), reconocimiento por micrófono (Speech-to-Text), un algoritmo de test vocacional de 6 reactivos y una base de conocimientos completa que resuelve dudas sobre admisiones, carreras técnicas, gratuidad educativa y registro digital de vouchers.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2. PLANTEAMIENTO DEL PROBLEMA Y JUSTIFICACIÓN</w:t>
      </w:r>
    </w:p>
    <w:p>
      <w:pPr>
        <w:spacing w:after="120" w:line="276" w:lineRule="auto"/>
      </w:pPr>
      <w:r>
        <w:rPr>
          <w:rFonts w:ascii="Arial" w:hAnsi="Arial"/>
          <w:sz w:val="21"/>
        </w:rPr>
        <w:t>En la provincia de Paita existe una alta demanda de profesionales técnicos calificados para los sectores pesquero, logístico-portuario, comercial y tecnológico. No obstante, los egresados de secundaria enfrentan barreras informativas críticas: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Indecisión Vocacional: </w:t>
      </w:r>
      <w:r>
        <w:rPr>
          <w:rFonts w:ascii="Arial" w:hAnsi="Arial"/>
          <w:sz w:val="21"/>
        </w:rPr>
        <w:t>Falta de un orientador vocacional accesible que guíe las aptitudes del postulante hacia una carrera técnica con inserción laboral real.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Horarios Restringidos de Atención: </w:t>
      </w:r>
      <w:r>
        <w:rPr>
          <w:rFonts w:ascii="Arial" w:hAnsi="Arial"/>
          <w:sz w:val="21"/>
        </w:rPr>
        <w:t>Las consultas presenciales en secretaría solo se realizan en horario diurno de lunes a viernes (8:00 AM a 3:00 PM), dejando sin soporte a quienes estudian o trabajan.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Confusión con Instituciones Privadas: </w:t>
      </w:r>
      <w:r>
        <w:rPr>
          <w:rFonts w:ascii="Arial" w:hAnsi="Arial"/>
          <w:sz w:val="21"/>
        </w:rPr>
        <w:t>Muchos aspirantes desconocen que el IESTP Hermanos Cárcamo es un instituto público estatal donde la enseñanza es 100% gratuita (sin pensiones mensuales privadas), requiriendo únicamente el abono de una tasa administrativa semestral.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Dificultades en el Registro de Pagos: </w:t>
      </w:r>
      <w:r>
        <w:rPr>
          <w:rFonts w:ascii="Arial" w:hAnsi="Arial"/>
          <w:sz w:val="21"/>
        </w:rPr>
        <w:t>El uso de la plataforma digital institucional (pagos.ieshercar.edu.pe) genera dudas sobre el registro de códigos de operación del Banco de la Nación y la descarga de boletas electrónicas.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3. STACK TECNOLÓGICO Y ARQUITECTURA</w:t>
      </w:r>
    </w:p>
    <w:p>
      <w:pPr>
        <w:spacing w:after="120" w:line="276" w:lineRule="auto"/>
      </w:pPr>
      <w:r>
        <w:rPr>
          <w:rFonts w:ascii="Arial" w:hAnsi="Arial"/>
          <w:sz w:val="21"/>
        </w:rPr>
        <w:t>Se seleccionó una arquitectura desacoplada de alto rendimiento que no depende de frameworks pesados, garantizando tiempos de carga inferiores a 1 segundo: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Tecnología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Función en el Sistema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Frontend UI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HTML5 Semántico + CSS3 Avanzado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Interfaz responsiva en pantalla completa, diseño de portada, modo oscuro y animaciones ripple.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Lógica Conversacional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Vanilla JavaScript (ES6+)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Normalización de texto, motor NLP de intenciones, parsing de Markdown y gestión del DOM.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Iconografía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Inline SVG Vectors (Phosphor Standard)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Iconos vectoriales de trazo uniforme a 2px en lugar de emojis informales.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Test Vocacional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Algoritmo Polifactorial JS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Evaluación de 6 factores psicométricos con cálculo de compatibilidad porcentual.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Síntesis de Voz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Python edge-tts + Web Speech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Generación de voz femenina neural de alta fidelidad (es-ES-ElviraNeural) y fallback nativo.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Reconocimiento Voz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Web Speech Recognition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Dictado por micrófono en tiempo real con dialecto peruano (es-PE).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Alojamiento Web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GitHub Pages (HTTPS CDN)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Despliegue global en la nube disponible 24/7 de forma gratuita y segura.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4. OFERTA FORMATIVA INSTITUCIONAL</w:t>
      </w:r>
    </w:p>
    <w:p>
      <w:pPr>
        <w:spacing w:after="120" w:line="276" w:lineRule="auto"/>
      </w:pPr>
      <w:r>
        <w:rPr>
          <w:rFonts w:ascii="Arial" w:hAnsi="Arial"/>
          <w:sz w:val="21"/>
        </w:rPr>
        <w:t>Todas las carreras profesionales técnicas tienen una duración de 3 años lectivos (6 semestres académicos), otorgan Título Profesional Técnico a Nombre de la Nación y certificaciones modulares progresivas cada año: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Carrera Profesional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Enfoque Formativo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Campo Laboral en Paita / Piura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Arquitectura de Plataformas y Servicios TI (APSTI)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de software web y móvil, administración de redes, ciberseguridad, servidores e infraestructura cloud.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Desarrollador web/móvil, administrador cloud, soporte TI en agencias aduaneras y empresas portuarias.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Administración de Negocios Internacionales (ANI)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Estrategias comerciales globales, exportación de productos del norte, aduanas, logística de contenedores y transporte marítimo.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Agencias marítimas y de aduanas en el Puerto de Paita, almacenes fiscales y empresas exportadoras.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Contabilidad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Gestión tributaria (SUNAT), formulación de estados financieros, libros electrónicos, auditoría y costos empresariales.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Estudios contables, entidades bancarias (Banco de la Nación, Cajas Piura), hospitales, municipios y MYPES.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Pesquero y Acuícola (DPA)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Cultivo de conchas de abanico y langostinos, faenas de navegación pesquera, procesamiento industrial e inocuidad alimentaria (HACCP).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Supervisores QA/QC en plantas congeladoras y conserveras de Paita, criaderos acuícolas e inspectores sanitarios.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5. PROCEDIMIENTOS DE MATRÍCULA Y REGISTRO DE PAGOS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5.1. Matrícula y Gratuidad de la Enseñanza</w:t>
      </w:r>
    </w:p>
    <w:p>
      <w:pPr>
        <w:spacing w:after="120" w:line="276" w:lineRule="auto"/>
      </w:pPr>
      <w:r>
        <w:rPr>
          <w:rFonts w:ascii="Arial" w:hAnsi="Arial"/>
          <w:sz w:val="21"/>
        </w:rPr>
        <w:t>Por ser una institución pública estatal supervisada por el Ministerio de Educación (MINEDU) y la Dirección Regional de Educación de Piura (DREP), no existen pensiones mensuales. Los estudiantes únicamente abonan una tasa administrativa semestral conforme al TUPA institucional (aproximadamente S/ 150 a S/ 250 por ciclo de 6 meses completo).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5.2. Protocolo de Registro de Vouchers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1: </w:t>
      </w:r>
      <w:r>
        <w:rPr>
          <w:rFonts w:ascii="Arial" w:hAnsi="Arial"/>
          <w:sz w:val="21"/>
        </w:rPr>
        <w:t>El usuario realiza el depósito en el Banco de la Nación (ventanilla o Agente MultiRed) y conserva el comprobante.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2: </w:t>
      </w:r>
      <w:r>
        <w:rPr>
          <w:rFonts w:ascii="Arial" w:hAnsi="Arial"/>
          <w:sz w:val="21"/>
        </w:rPr>
        <w:t>Accede a la plataforma oficial: 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3: </w:t>
      </w:r>
      <w:r>
        <w:rPr>
          <w:rFonts w:ascii="Arial" w:hAnsi="Arial"/>
          <w:sz w:val="21"/>
        </w:rPr>
        <w:t>Ingresa su número de DNI para autenticarse en el sistema.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4: </w:t>
      </w:r>
      <w:r>
        <w:rPr>
          <w:rFonts w:ascii="Arial" w:hAnsi="Arial"/>
          <w:sz w:val="21"/>
        </w:rPr>
        <w:t>Selecciona el concepto (Matrícula, Examen de Admisión o Trámite) y digita el Número de Operación, Fecha y Monto.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5: </w:t>
      </w:r>
      <w:r>
        <w:rPr>
          <w:rFonts w:ascii="Arial" w:hAnsi="Arial"/>
          <w:sz w:val="21"/>
        </w:rPr>
        <w:t>Adjunta el archivo o foto del voucher legible y confirma el registro.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6: </w:t>
      </w:r>
      <w:r>
        <w:rPr>
          <w:rFonts w:ascii="Arial" w:hAnsi="Arial"/>
          <w:sz w:val="21"/>
        </w:rPr>
        <w:t>Descarga la boleta electrónica oficial desde: https://sistema.ieshercar.com/Consulta_Boletas/index.php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6. MEMORIA DE DESARROLLO: CÓMO SE CONSTRUYÓ HERCARTIA</w:t>
      </w:r>
    </w:p>
    <w:p>
      <w:pPr>
        <w:spacing w:after="120" w:line="276" w:lineRule="auto"/>
      </w:pPr>
      <w:r>
        <w:rPr>
          <w:rFonts w:ascii="Arial" w:hAnsi="Arial"/>
          <w:sz w:val="21"/>
        </w:rPr>
        <w:t>El desarrollo de HercarIA se llevó a cabo siguiendo una metodología ágil de ingeniería de software orientada a prototipado rápido, alta fidelidad visual y optimización de rendimiento. A continuación se desglosan las fases de construcción: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1: Extracción y Estructuración de Conocimiento Institucional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Recopilación de Fuentes Oficiales: </w:t>
      </w:r>
      <w:r>
        <w:rPr>
          <w:rFonts w:ascii="Arial" w:hAnsi="Arial"/>
          <w:sz w:val="21"/>
        </w:rPr>
        <w:t>Se realizó un relevamiento minucioso de la web oficial ieshercar.edu.pe, portales de pago (pagos.ieshercar.edu.pe), sistema de boletas y el TUPA del instituto.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Categorización Ontológica: </w:t>
      </w:r>
      <w:r>
        <w:rPr>
          <w:rFonts w:ascii="Arial" w:hAnsi="Arial"/>
          <w:sz w:val="21"/>
        </w:rPr>
        <w:t>La información se estructuró en js/knowledge.js bajo tópicos bien diferenciados: Identidad histórica y héroes patronos Cárcamo, las 4 carreras técnicas, requisitos de admisión y fechas, estructura de costos públicos (gratuidad de enseñanza) y guía de trámites de Mesa de Partes.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2: Diseño de Experiencia de Usuario (UI/UX) Estilo ChatGPT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Estructura Visual: </w:t>
      </w:r>
      <w:r>
        <w:rPr>
          <w:rFonts w:ascii="Arial" w:hAnsi="Arial"/>
          <w:sz w:val="21"/>
        </w:rPr>
        <w:t>Se adoptó una maquetación en pantalla completa con barra lateral colapsable, contenedor central conversacional y una portada de bienvenida ("¿Qué deseas consultar hoy?") que contextualiza al visitante.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Estandarización Iconográfica: </w:t>
      </w:r>
      <w:r>
        <w:rPr>
          <w:rFonts w:ascii="Arial" w:hAnsi="Arial"/>
          <w:sz w:val="21"/>
        </w:rPr>
        <w:t>Se reemplazaron emojis heterogéneos por una librería unificada de iconos vectoriales SVG con trazo de 2px, garantizando un aspecto sobrio y corporativo.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Identidad Visual Institucional: </w:t>
      </w:r>
      <w:r>
        <w:rPr>
          <w:rFonts w:ascii="Arial" w:hAnsi="Arial"/>
          <w:sz w:val="21"/>
        </w:rPr>
        <w:t>Se aplicó la paleta cromática oficial: Azul Marino (#13357b), Azul Eléctrico (#2563eb) y Acentos Ámbar (#f59e0b), complementado con soporte de Tema Oscuro (Dark Mode).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3: Desarrollo del Test Vocacional Interactivo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Algoritmo de Compatibilidad: </w:t>
      </w:r>
      <w:r>
        <w:rPr>
          <w:rFonts w:ascii="Arial" w:hAnsi="Arial"/>
          <w:sz w:val="21"/>
        </w:rPr>
        <w:t>Se implementó en js/test_vocacional.js un cuestionario interactivo de 6 reactivos con opciones múltiples que evalúan afinidad hacia software y redes (APSTI), logística y puertos (ANI), finanzas y tributos (Contabilidad) o recursos marinos y pesquería (DPA).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Cálculo Dinámico: </w:t>
      </w:r>
      <w:r>
        <w:rPr>
          <w:rFonts w:ascii="Arial" w:hAnsi="Arial"/>
          <w:sz w:val="21"/>
        </w:rPr>
        <w:t>Al finalizar las 6 preguntas, el algoritmo calcula el porcentaje de compatibilidad relativa y presenta una tarjeta destacada con trofeo dorado y sugerencias de inserción profesional.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4: Motor de Voz Femenina Neural Peruana y Dictado por Micrófono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Voz Neural Camila (Perú): </w:t>
      </w:r>
      <w:r>
        <w:rPr>
          <w:rFonts w:ascii="Arial" w:hAnsi="Arial"/>
          <w:sz w:val="21"/>
        </w:rPr>
        <w:t>Se adoptó como estándar principal es-PE-CamilaNeural a través de Microsoft Edge TTS, garantizando una entonación dulce, natural y con fonética propia del Perú para la comunidad de Paita y Piura.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Normalización Fonética Especializada: </w:t>
      </w:r>
      <w:r>
        <w:rPr>
          <w:rFonts w:ascii="Arial" w:hAnsi="Arial"/>
          <w:sz w:val="21"/>
        </w:rPr>
        <w:t>Se incorporó un preprocesador que traduce siglas antes de la síntesis (I.E.S.T.P. a "Instituto", S/ 150 a "150 soles", APSTI a "A P S T I"), eliminando pausas forzadas o lecturas fragmentadas.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Segmentación Inteligente por Expresiones Regulares: </w:t>
      </w:r>
      <w:r>
        <w:rPr>
          <w:rFonts w:ascii="Arial" w:hAnsi="Arial"/>
          <w:sz w:val="21"/>
        </w:rPr>
        <w:t>Se reemplazó la división simplista por puntos por un parser de oraciones completas que une frases coherentes hasta 320 caracteres, garantizando fluidez total.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Control de Silenciamiento Inmediato: </w:t>
      </w:r>
      <w:r>
        <w:rPr>
          <w:rFonts w:ascii="Arial" w:hAnsi="Arial"/>
          <w:sz w:val="21"/>
        </w:rPr>
        <w:t>Se programó la interrupción instantánea de audio mediante tecla Escape, clic en entrada de texto o activación del botón de silenciar, evitando solapamientos sonoros.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Entrada por Micrófono (STT): </w:t>
      </w:r>
      <w:r>
        <w:rPr>
          <w:rFonts w:ascii="Arial" w:hAnsi="Arial"/>
          <w:sz w:val="21"/>
        </w:rPr>
        <w:t>Se añadió reconocimiento de voz en tiempo real con indicador visual de ondas concéntricas (ripple pulse).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5: Navegación Adaptativa y Control de Conversación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Menú Responsivo de 3 Líneas: </w:t>
      </w:r>
      <w:r>
        <w:rPr>
          <w:rFonts w:ascii="Arial" w:hAnsi="Arial"/>
          <w:sz w:val="21"/>
        </w:rPr>
        <w:t>En pantallas de escritorio (Desktop), el botón de 3 líneas colapsa suavemente el menú lateral hacia la izquierda (-280px), otorgando el 100% de la pantalla al chat conversacional estilo ChatGPT. En dispositivos móviles y tabletas, despliega un cajón lateral (Drawer) con telón oscuro translúcido (overlay) y botón de cierre táctil.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Función Guardar Registro de Chat: </w:t>
      </w:r>
      <w:r>
        <w:rPr>
          <w:rFonts w:ascii="Arial" w:hAnsi="Arial"/>
          <w:sz w:val="21"/>
        </w:rPr>
        <w:t>Permite al usuario descargar con un solo clic un archivo formal (.txt) con la transcripción completa de su diálogo, fecha, hora y encabezados institucionales para su archivo personal.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Función Borrar Conversación: </w:t>
      </w:r>
      <w:r>
        <w:rPr>
          <w:rFonts w:ascii="Arial" w:hAnsi="Arial"/>
          <w:sz w:val="21"/>
        </w:rPr>
        <w:t>Botón con confirmación interactiva para limpiar la pantalla de chat, restablecer el estado del sistema y regresar a la portada de bienvenida.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Historial de Consultas Recientes: </w:t>
      </w:r>
      <w:r>
        <w:rPr>
          <w:rFonts w:ascii="Arial" w:hAnsi="Arial"/>
          <w:sz w:val="21"/>
        </w:rPr>
        <w:t>Almacenamiento persistente en localStorage que registra las preguntas formuladas y permite relanzarlas rápidamente desde la barra lateral.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6: Optimización, Pruebas y Despliegue en la Nube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Pruebas de Calidad de Interacción: </w:t>
      </w:r>
      <w:r>
        <w:rPr>
          <w:rFonts w:ascii="Arial" w:hAnsi="Arial"/>
          <w:sz w:val="21"/>
        </w:rPr>
        <w:t>Se evaluó la normalización de lenguaje eliminando tildes, signos de puntuación y admitiendo modismos frecuentes de los postulantes.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Despliegue Continuo en GitHub Pages: </w:t>
      </w:r>
      <w:r>
        <w:rPr>
          <w:rFonts w:ascii="Arial" w:hAnsi="Arial"/>
          <w:sz w:val="21"/>
        </w:rPr>
        <w:t>El repositorio se alojó en GitHub (https://github.com/GMPH2007/HercarBOT) y se configuró GitHub Pages para acceso inmediato vía HTTPS desde cualquier smartphone o computadora.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7. GUÍA DE INSTALACIÓN Y ACCESO</w:t>
      </w:r>
    </w:p>
    <w:p>
      <w:pPr>
        <w:spacing w:after="120" w:line="276" w:lineRule="auto"/>
      </w:pPr>
      <w:r>
        <w:rPr>
          <w:rFonts w:ascii="Arial" w:hAnsi="Arial"/>
          <w:sz w:val="21"/>
        </w:rPr>
        <w:t>HercarIA se distribuye en dos modalidades para facilidad de los usuarios: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Lanzador con 1 Clic (Local Windows): </w:t>
      </w:r>
      <w:r>
        <w:rPr>
          <w:rFonts w:ascii="Arial" w:hAnsi="Arial"/>
          <w:sz w:val="21"/>
        </w:rPr>
        <w:t>Doble clic en el archivo Iniciar_HercarBOT.bat para activar el servidor con síntesis de voz neural y abrir el navegador.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Sitio Web en Vivo (Nube): </w:t>
      </w:r>
      <w:r>
        <w:rPr>
          <w:rFonts w:ascii="Arial" w:hAnsi="Arial"/>
          <w:sz w:val="21"/>
        </w:rPr>
        <w:t>Disponible en cualquier dispositivo a través de https://gmph2007.github.io/HercarBOT/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