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0"/>
        <w:jc w:val="center"/>
      </w:pPr>
      <w:r>
        <w:rPr>
          <w:rFonts w:ascii="Arial" w:hAnsi="Arial"/>
          <w:b/>
          <w:color w:val="13357B"/>
          <w:sz w:val="26"/>
        </w:rPr>
        <w:t>INSTITUTO DE EDUCACIÓN SUPERIOR TECNOLÓGICO PÚBLICO</w:t>
        <w:br/>
        <w:t>"HERMANOS CÁRCAMO" — PAITA, PIURA</w:t>
      </w:r>
    </w:p>
    <w:p>
      <w:pPr>
        <w:jc w:val="center"/>
      </w:pPr>
    </w:p>
    <w:p>
      <w:pPr>
        <w:spacing w:after="400"/>
        <w:jc w:val="center"/>
      </w:pPr>
      <w:r>
        <w:drawing>
          <wp:inline xmlns:a="http://schemas.openxmlformats.org/drawingml/2006/main" xmlns:pic="http://schemas.openxmlformats.org/drawingml/2006/picture">
            <wp:extent cx="2011680" cy="20116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-cres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011680" cy="2011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b/>
          <w:color w:val="13357B"/>
          <w:sz w:val="44"/>
        </w:rPr>
        <w:t>INFORME TÉCNICO Y MEMORIA DESCRIPTIVA</w:t>
      </w:r>
    </w:p>
    <w:p>
      <w:pPr>
        <w:spacing w:after="500"/>
        <w:jc w:val="center"/>
      </w:pPr>
      <w:r>
        <w:rPr>
          <w:rFonts w:ascii="Arial" w:hAnsi="Arial"/>
          <w:b/>
          <w:color w:val="2563EB"/>
          <w:sz w:val="24"/>
        </w:rPr>
        <w:t>Desarrollo e Implementación del Asistente Virtual Inteligente "HercarIA"</w:t>
        <w:br/>
        <w:t>Dotado de Red Neuronal Artificial Multicapa (MLP), Síntesis Vocal Femenina Humana,</w:t>
        <w:br/>
        <w:t>Simulador TUPA 2026 y Mapa Arquitectónico Interactivo</w:t>
      </w:r>
    </w:p>
    <w:p>
      <w:pPr>
        <w:jc w:val="center"/>
      </w:pPr>
      <w:r>
        <w:rPr>
          <w:b/>
          <w:color w:val="13357B"/>
          <w:sz w:val="21"/>
        </w:rPr>
        <w:t>CARRERA PROFESIONAL TÉCNICA:</w:t>
        <w:br/>
      </w:r>
      <w:r>
        <w:rPr>
          <w:b/>
          <w:color w:val="2563EB"/>
          <w:sz w:val="23"/>
        </w:rPr>
        <w:t>Arquitectura de Plataformas y Servicios de Tecnologías de la Información (APSTI)</w:t>
        <w:br/>
        <w:br/>
      </w:r>
      <w:r>
        <w:rPr>
          <w:b/>
          <w:sz w:val="21"/>
        </w:rPr>
        <w:t>AUTOR / DESARROLLADOR:</w:t>
        <w:br/>
      </w:r>
      <w:r>
        <w:rPr>
          <w:b/>
          <w:sz w:val="24"/>
        </w:rPr>
        <w:t>Gerson Misael Pintado Huamán (GMPH2007)</w:t>
        <w:br/>
        <w:br/>
      </w:r>
      <w:r>
        <w:rPr>
          <w:b/>
          <w:sz w:val="20"/>
        </w:rPr>
        <w:t>VERSIÓN DEL SISTEMA:</w:t>
        <w:br/>
      </w:r>
      <w:r>
        <w:rPr>
          <w:b/>
          <w:color w:val="7C3AED"/>
          <w:sz w:val="21"/>
        </w:rPr>
        <w:t>Versión 5.1 Neuronal APSTI Ampliada (Producción Estable)</w:t>
        <w:br/>
        <w:br/>
      </w:r>
      <w:r>
        <w:rPr>
          <w:b/>
          <w:sz w:val="19"/>
        </w:rPr>
        <w:t>REPOSITORIO OFICIAL EN GITHUB:</w:t>
        <w:br/>
      </w:r>
      <w:r>
        <w:rPr>
          <w:color w:val="2563EB"/>
          <w:sz w:val="19"/>
        </w:rPr>
        <w:t>https://github.com/GMPH2007/HercarBOT</w:t>
        <w:br/>
        <w:br/>
      </w:r>
      <w:r>
        <w:rPr>
          <w:b/>
          <w:sz w:val="19"/>
        </w:rPr>
        <w:t>DESPLIEGUE WEB EN VIVO (GITHUB PAGES):</w:t>
        <w:br/>
      </w:r>
      <w:r>
        <w:rPr>
          <w:color w:val="2563EB"/>
          <w:sz w:val="19"/>
        </w:rPr>
        <w:t>https://gmph2007.github.io/HercarBOT/</w:t>
        <w:br/>
        <w:br/>
      </w:r>
      <w:r>
        <w:rPr>
          <w:b/>
          <w:color w:val="64748B"/>
          <w:sz w:val="22"/>
        </w:rPr>
        <w:t>Paita — Piura, Perú</w:t>
        <w:br/>
        <w:t>2026</w:t>
      </w:r>
    </w:p>
    <w:p>
      <w:r>
        <w:br w:type="page"/>
      </w:r>
    </w:p>
    <w:p>
      <w:pPr>
        <w:spacing w:before="360" w:after="120"/>
      </w:pPr>
      <w:r>
        <w:rPr>
          <w:rFonts w:ascii="Arial" w:hAnsi="Arial"/>
          <w:b/>
          <w:color w:val="13357B"/>
          <w:sz w:val="28"/>
        </w:rPr>
        <w:t>1. RESUMEN EJECUTIVO</w:t>
      </w:r>
    </w:p>
    <w:p>
      <w:pPr>
        <w:spacing w:after="120" w:line="276" w:lineRule="auto"/>
      </w:pPr>
      <w:r>
        <w:rPr>
          <w:rFonts w:ascii="Arial" w:hAnsi="Arial"/>
          <w:color w:val="1E293B"/>
          <w:sz w:val="21"/>
        </w:rPr>
        <w:t>El presente informe técnico expone la fundamentación de ingeniería, diseño arquitectónico, desarrollo algorítmico y despliegue del sistema "HercarIA v5.1", una plataforma de Inteligencia Artificial conversacional de última generación concebida para el Instituto de Educación Superior Tecnológico Público "Hermanos Cárcamo" de Paita.</w:t>
      </w:r>
    </w:p>
    <w:p>
      <w:pPr>
        <w:spacing w:after="120" w:line="276" w:lineRule="auto"/>
      </w:pPr>
      <w:r>
        <w:rPr>
          <w:rFonts w:ascii="Arial" w:hAnsi="Arial"/>
          <w:color w:val="1E293B"/>
          <w:sz w:val="21"/>
        </w:rPr>
        <w:t>Desarrollado en el seno formativo de la Carrera Profesional Técnica de Arquitectura de Plataformas y Servicios de Tecnologías de la Información (APSTI), HercarIA integra una Red Neuronal Artificial Perceptrón Multicapa (MLP) ejecutada íntegramente en el cliente (Browser Client-Side Deep Learning) con vectorización TF-IDF, activación LeakyReLU y Tanh, distribución Softmax de intenciones con latencia inferior a 5 milisegundos, y un motor de recuperación semántica enciclopédico.</w:t>
      </w:r>
    </w:p>
    <w:p>
      <w:pPr>
        <w:spacing w:after="120" w:line="276" w:lineRule="auto"/>
      </w:pPr>
      <w:r>
        <w:rPr>
          <w:rFonts w:ascii="Arial" w:hAnsi="Arial"/>
          <w:color w:val="1E293B"/>
          <w:sz w:val="21"/>
        </w:rPr>
        <w:t>La versión 5.1 expande masivamente el conocimiento institucional para responder consultas detalladas sobre mallas curriculares ciclo por ciclo, temarios del examen de admisión, trámites de titulación y prácticas EFSRT, Beca 18 (PRONABEC), carné de medio pasaje, rutas de transporte desde Piura y Sullana, el sistema SIGA web y la biblioteca virtual. Asimismo, refina ergonómicamente la interfaz ocultando indicadores o botones toscos de IA para brindar una experiencia de usuario limpia, sobria, humana y profesional similar a ChatGPT.</w:t>
      </w:r>
    </w:p>
    <w:p>
      <w:pPr>
        <w:spacing w:before="360" w:after="120"/>
      </w:pPr>
      <w:r>
        <w:rPr>
          <w:rFonts w:ascii="Arial" w:hAnsi="Arial"/>
          <w:b/>
          <w:color w:val="13357B"/>
          <w:sz w:val="28"/>
        </w:rPr>
        <w:t>2. PLANTEAMIENTO DEL PROBLEMA Y JUSTIFICACIÓN EN PAITA</w:t>
      </w:r>
    </w:p>
    <w:p>
      <w:pPr>
        <w:spacing w:after="120" w:line="276" w:lineRule="auto"/>
      </w:pPr>
      <w:r>
        <w:rPr>
          <w:rFonts w:ascii="Arial" w:hAnsi="Arial"/>
          <w:color w:val="1E293B"/>
          <w:sz w:val="21"/>
        </w:rPr>
        <w:t>La provincia de Paita alberga el principal puerto marítimo y comercial del norte peruano, un nodo estratégico de agroexportación, pesquería de consumo humano directo e industrias de frío. No obstante, los jóvenes egresados de secundaria y la comunidad provincial enfrentan brechas persistentes: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1E293B"/>
          <w:sz w:val="21"/>
        </w:rPr>
        <w:t xml:space="preserve">Desconocimiento del Principio de Gratuidad: </w:t>
      </w:r>
      <w:r>
        <w:rPr>
          <w:rFonts w:ascii="Arial" w:hAnsi="Arial"/>
          <w:color w:val="1E293B"/>
          <w:sz w:val="21"/>
        </w:rPr>
        <w:t>Existe una confusión recurrente donde muchos postulantes asumen que el instituto cobra mensualidades privadas elevadas. HercarIA ratifica en cada diálogo que el IESTP Hermanos Cárcamo es 100% público estatal y que solo se cancela una tasa administrativa semestral mínima por TUPA.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1E293B"/>
          <w:sz w:val="21"/>
        </w:rPr>
        <w:t xml:space="preserve">Falta de Orientación Vocacional Tecnológica: </w:t>
      </w:r>
      <w:r>
        <w:rPr>
          <w:rFonts w:ascii="Arial" w:hAnsi="Arial"/>
          <w:color w:val="1E293B"/>
          <w:sz w:val="21"/>
        </w:rPr>
        <w:t>Carencia de herramientas interactivas que evalúen vocaciones hacia la tecnología, computación en la nube, negocios aduaneros y maricultura, incrementando el riesgo de deserción.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1E293B"/>
          <w:sz w:val="21"/>
        </w:rPr>
        <w:t xml:space="preserve">Horarios Restringidos de Secretaría: </w:t>
      </w:r>
      <w:r>
        <w:rPr>
          <w:rFonts w:ascii="Arial" w:hAnsi="Arial"/>
          <w:color w:val="1E293B"/>
          <w:sz w:val="21"/>
        </w:rPr>
        <w:t>La atención en ventanilla culmina a las 3:00 PM, dejando desatendidas consultas urgentes en turnos de tarde, noche o fines de semana.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1E293B"/>
          <w:sz w:val="21"/>
        </w:rPr>
        <w:t xml:space="preserve">Fricción en el Registro de Vouchers: </w:t>
      </w:r>
      <w:r>
        <w:rPr>
          <w:rFonts w:ascii="Arial" w:hAnsi="Arial"/>
          <w:color w:val="1E293B"/>
          <w:sz w:val="21"/>
        </w:rPr>
        <w:t>Dudas continuas en el llenado de datos bancarios en pagos.ieshercar.edu.pe y en la consulta de boletas electrónicas tributarias.</w:t>
      </w:r>
    </w:p>
    <w:p>
      <w:pPr>
        <w:spacing w:before="360" w:after="120"/>
      </w:pPr>
      <w:r>
        <w:rPr>
          <w:rFonts w:ascii="Arial" w:hAnsi="Arial"/>
          <w:b/>
          <w:color w:val="13357B"/>
          <w:sz w:val="28"/>
        </w:rPr>
        <w:t>3. MARCO NORMATIVO Y OFICIALIDAD INSTITUCIONAL</w:t>
      </w:r>
    </w:p>
    <w:p>
      <w:pPr>
        <w:spacing w:after="120" w:line="276" w:lineRule="auto"/>
      </w:pPr>
      <w:r>
        <w:rPr>
          <w:rFonts w:ascii="Arial" w:hAnsi="Arial"/>
          <w:color w:val="1E293B"/>
          <w:sz w:val="21"/>
        </w:rPr>
        <w:t>HercarIA se fundamenta en las normativas del sector educativo superior técnico del Perú: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1E293B"/>
          <w:sz w:val="21"/>
        </w:rPr>
        <w:t xml:space="preserve">Ley de Institutos y Escuelas de Educación Superior N° 30512: </w:t>
      </w:r>
      <w:r>
        <w:rPr>
          <w:rFonts w:ascii="Arial" w:hAnsi="Arial"/>
          <w:color w:val="1E293B"/>
          <w:sz w:val="21"/>
        </w:rPr>
        <w:t>Regula la formación técnica de excelencia, asegurando el cumplimiento de las condiciones básicas de calidad.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1E293B"/>
          <w:sz w:val="21"/>
        </w:rPr>
        <w:t xml:space="preserve">Título Profesional Técnico a Nombre de la Nación: </w:t>
      </w:r>
      <w:r>
        <w:rPr>
          <w:rFonts w:ascii="Arial" w:hAnsi="Arial"/>
          <w:color w:val="1E293B"/>
          <w:sz w:val="21"/>
        </w:rPr>
        <w:t>Expedido directamente por el Ministerio de Educación (MINEDU), otorgando reconocimiento pleno a nivel nacional e internacional.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1E293B"/>
          <w:sz w:val="21"/>
        </w:rPr>
        <w:t xml:space="preserve">Convalidación Universitaria (SUNEDU): </w:t>
      </w:r>
      <w:r>
        <w:rPr>
          <w:rFonts w:ascii="Arial" w:hAnsi="Arial"/>
          <w:color w:val="1E293B"/>
          <w:sz w:val="21"/>
        </w:rPr>
        <w:t>Permite a los egresados de 3 años convalidar créditos académicos en universidades licenciadas para culminar el Bachillerato y Licenciatura universitaria.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1E293B"/>
          <w:sz w:val="21"/>
        </w:rPr>
        <w:t xml:space="preserve">Certificaciones Modulares Progresivas: </w:t>
      </w:r>
      <w:r>
        <w:rPr>
          <w:rFonts w:ascii="Arial" w:hAnsi="Arial"/>
          <w:color w:val="1E293B"/>
          <w:sz w:val="21"/>
        </w:rPr>
        <w:t>Certificación oficial al cierre de cada año académico cursado con éxito, habilitando al alumno para incorporarse con sustento formal al mercado de trabajo.</w:t>
      </w:r>
    </w:p>
    <w:p>
      <w:pPr>
        <w:spacing w:before="360" w:after="120"/>
      </w:pPr>
      <w:r>
        <w:rPr>
          <w:rFonts w:ascii="Arial" w:hAnsi="Arial"/>
          <w:b/>
          <w:color w:val="13357B"/>
          <w:sz w:val="28"/>
        </w:rPr>
        <w:t>4. OFERTA FORMATIVA INSTITUCIONAL</w:t>
      </w:r>
    </w:p>
    <w:p>
      <w:pPr>
        <w:spacing w:after="120" w:line="276" w:lineRule="auto"/>
      </w:pPr>
      <w:r>
        <w:rPr>
          <w:rFonts w:ascii="Arial" w:hAnsi="Arial"/>
          <w:color w:val="1E293B"/>
          <w:sz w:val="21"/>
        </w:rPr>
        <w:t>El IESTP Hermanos Cárcamo imparte 4 programas profesionales técnicos de 3 años lectivos (6 semestres), organizados bajo planes curriculares modulares: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13357B"/>
            <w:tcMar>
              <w:top w:w="130" w:type="dxa"/>
              <w:bottom w:w="130" w:type="dxa"/>
              <w:left w:w="150" w:type="dxa"/>
              <w:right w:w="150" w:type="dxa"/>
            </w:tcMar>
          </w:tcPr>
          <w:p>
            <w:r>
              <w:rPr>
                <w:b/>
                <w:color w:val="FFFFFF"/>
              </w:rPr>
              <w:t>Carrera Profesional</w:t>
            </w:r>
          </w:p>
        </w:tc>
        <w:tc>
          <w:tcPr>
            <w:tcW w:type="dxa" w:w="3120"/>
            <w:shd w:fill="13357B"/>
            <w:tcMar>
              <w:top w:w="130" w:type="dxa"/>
              <w:bottom w:w="130" w:type="dxa"/>
              <w:left w:w="150" w:type="dxa"/>
              <w:right w:w="150" w:type="dxa"/>
            </w:tcMar>
          </w:tcPr>
          <w:p>
            <w:r>
              <w:rPr>
                <w:b/>
                <w:color w:val="FFFFFF"/>
              </w:rPr>
              <w:t>Enfoque Formativo y Módulos</w:t>
            </w:r>
          </w:p>
        </w:tc>
        <w:tc>
          <w:tcPr>
            <w:tcW w:type="dxa" w:w="3120"/>
            <w:shd w:fill="13357B"/>
            <w:tcMar>
              <w:top w:w="130" w:type="dxa"/>
              <w:bottom w:w="130" w:type="dxa"/>
              <w:left w:w="150" w:type="dxa"/>
              <w:right w:w="150" w:type="dxa"/>
            </w:tcMar>
          </w:tcPr>
          <w:p>
            <w:r>
              <w:rPr>
                <w:b/>
                <w:color w:val="FFFFFF"/>
              </w:rPr>
              <w:t>Campo Laboral en Paita / Piura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9"/>
              </w:rPr>
              <w:t>Arquitectura de Plataformas y Servicios de Tecnologías de la Información (APSTI)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9"/>
              </w:rPr>
              <w:t>Desarrollo de aplicaciones web y móviles, arquitectura cloud, bases de datos relacionales y NoSQL, administración de redes Cisco/MikroTik, seguridad perimetral, administración de servidores Linux/Windows Server e Inteligencia Artificial aplicada.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9"/>
              </w:rPr>
              <w:t>Especialista en soporte y cloud en operadores portuarios (TPE), empresas del Parque Industrial de Paita, agencias aduaneras, banca, agroindustrias y desarrollo de software remoto global.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9"/>
              </w:rPr>
              <w:t>Administración de Negocios Internacionales (ANI)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9"/>
              </w:rPr>
              <w:t>Gestión aduanera, operatividad de importación/exportación, fletes marítimos y aéreos, logística de contenedores refrigerados reefer, tratados de libre comercio y finanzas internacionales.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9"/>
              </w:rPr>
              <w:t>Agencias marítimas y de aduanas, almacenes aduaneros temporales, operadoras portuarias, plantas agroexportadoras y terminales logísticos.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9"/>
              </w:rPr>
              <w:t>Contabilidad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9"/>
              </w:rPr>
              <w:t>Contabilidad financiera, de costos y gubernamental, formulación de estados financieros, sistemas tributarios SUNAT (SIRE, PDT, Renta, IGV), auditoría y planillas laborales.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9"/>
              </w:rPr>
              <w:t>Áreas contables y de auditoría en consorcios pesqueros, entidades bancarias y microfinancieras (Banco de la Nación, Cajas municipales), municipalidades y despachos contables independientes.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9"/>
              </w:rPr>
              <w:t>Desarrollo Pesquero y Acuícola (DPA)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9"/>
              </w:rPr>
              <w:t>Cultivo de especies marinas (conchas de abanico, langostinos, peces), faenas de navegación y pesca responsable en la embarcación del instituto, plantas de procesamiento y normas internacionales HACCP y BPM.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9"/>
              </w:rPr>
              <w:t>Supervisores de aseguramiento y control de calidad (QA/QC) en plantas congeladoras de pota y perico, centros de maricultura en bahía de Paita y Sechura, e inspectores de SANIPES.</w:t>
            </w:r>
          </w:p>
        </w:tc>
      </w:tr>
    </w:tbl>
    <w:p>
      <w:pPr>
        <w:spacing w:before="360" w:after="120"/>
      </w:pPr>
      <w:r>
        <w:rPr>
          <w:rFonts w:ascii="Arial" w:hAnsi="Arial"/>
          <w:b/>
          <w:color w:val="13357B"/>
          <w:sz w:val="28"/>
        </w:rPr>
        <w:t>5. ARQUITECTURA DE LA RED NEURONAL ARTIFICIAL (MLP MULTICAPA)</w:t>
      </w:r>
    </w:p>
    <w:p>
      <w:pPr>
        <w:spacing w:after="120" w:line="276" w:lineRule="auto"/>
      </w:pPr>
      <w:r>
        <w:rPr>
          <w:rFonts w:ascii="Arial" w:hAnsi="Arial"/>
          <w:color w:val="1E293B"/>
          <w:sz w:val="21"/>
        </w:rPr>
        <w:t>Como estandarte de la carrera técnica de APSTI, HercarIA v5.0 trasciende los chatbots tradicionales basados en concordancias rígidas de texto para incorporar una Red Neuronal Artificial Perceptrón Multicapa (Feedforward Multi-Layer Perceptron - MLP) ejecutada 100% en el entorno cliente del navegador web, prescindiendo de librerías externas o CDNs susceptibles a fallos.</w:t>
      </w:r>
    </w:p>
    <w:p>
      <w:pPr>
        <w:spacing w:before="240" w:after="80"/>
      </w:pPr>
      <w:r>
        <w:rPr>
          <w:rFonts w:ascii="Arial" w:hAnsi="Arial"/>
          <w:b/>
          <w:color w:val="2563EB"/>
          <w:sz w:val="24"/>
        </w:rPr>
        <w:t>5.1. Topología y Estructura Matemática de la Red</w:t>
      </w:r>
    </w:p>
    <w:p>
      <w:pPr>
        <w:spacing w:after="120" w:line="276" w:lineRule="auto"/>
      </w:pPr>
      <w:r>
        <w:rPr>
          <w:rFonts w:ascii="Arial" w:hAnsi="Arial"/>
          <w:color w:val="1E293B"/>
          <w:sz w:val="21"/>
        </w:rPr>
        <w:t>La red neuronal fue configurada específicamente para la clasificación de intenciones en el dominio institucional y académico: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1E293B"/>
          <w:sz w:val="21"/>
        </w:rPr>
        <w:t xml:space="preserve">Capa de Entrada (Input Layer - 220 Nodos): </w:t>
      </w:r>
      <w:r>
        <w:rPr>
          <w:rFonts w:ascii="Arial" w:hAnsi="Arial"/>
          <w:color w:val="1E293B"/>
          <w:sz w:val="21"/>
        </w:rPr>
        <w:t>Vectorización TF-IDF con vocabulario institucional cerrado de 220 términos normalizados (stemming fonético, lematización de jergas paiteñas y remoción de signos ortográficos).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1E293B"/>
          <w:sz w:val="21"/>
        </w:rPr>
        <w:t xml:space="preserve">Capa Oculta 1 (Hidden Layer 1 - 36 Neuronas): </w:t>
      </w:r>
      <w:r>
        <w:rPr>
          <w:rFonts w:ascii="Arial" w:hAnsi="Arial"/>
          <w:color w:val="1E293B"/>
          <w:sz w:val="21"/>
        </w:rPr>
        <w:t>Encargada de aprender correlaciones léxicas y sinonimias semánticas complejas. Emplea la función de activación LeakyReLU (alpha = 0.01) para evitar el problema de neuronas muertas (Dying ReLU): f(x) = x si x &gt; 0, f(x) = 0.01x si x &lt;= 0.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1E293B"/>
          <w:sz w:val="21"/>
        </w:rPr>
        <w:t xml:space="preserve">Capa Oculta 2 (Hidden Layer 2 - 18 Neuronas): </w:t>
      </w:r>
      <w:r>
        <w:rPr>
          <w:rFonts w:ascii="Arial" w:hAnsi="Arial"/>
          <w:color w:val="1E293B"/>
          <w:sz w:val="21"/>
        </w:rPr>
        <w:t>Realiza una abstracción dimensional superior hacia los ejes institucionales. Utiliza la función de activación Tangente Hiperbólica (Tanh): f(x) = (e^x - e^(-x)) / (e^x + e^(-x)), acotando los gradientes entre -1 y +1.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1E293B"/>
          <w:sz w:val="21"/>
        </w:rPr>
        <w:t xml:space="preserve">Capa de Salida (Output Layer - 22 Neuronas): </w:t>
      </w:r>
      <w:r>
        <w:rPr>
          <w:rFonts w:ascii="Arial" w:hAnsi="Arial"/>
          <w:color w:val="1E293B"/>
          <w:sz w:val="21"/>
        </w:rPr>
        <w:t>Genera una distribución de probabilidad normalizada entre las 22 clases de intención del sistema mediante la función Softmax: P(y = c | x) = exp(z_c) / sum(exp(z_j)).</w:t>
      </w:r>
    </w:p>
    <w:p>
      <w:pPr>
        <w:spacing w:before="240" w:after="80"/>
      </w:pPr>
      <w:r>
        <w:rPr>
          <w:rFonts w:ascii="Arial" w:hAnsi="Arial"/>
          <w:b/>
          <w:color w:val="2563EB"/>
          <w:sz w:val="24"/>
        </w:rPr>
        <w:t>5.2. Inicialización de Pesos de Xavier / Glorot y Entrenamiento</w:t>
      </w:r>
    </w:p>
    <w:p>
      <w:pPr>
        <w:spacing w:after="120" w:line="276" w:lineRule="auto"/>
      </w:pPr>
      <w:r>
        <w:rPr>
          <w:rFonts w:ascii="Arial" w:hAnsi="Arial"/>
          <w:color w:val="1E293B"/>
          <w:sz w:val="21"/>
        </w:rPr>
        <w:t>Para garantizar una convergencia rápida y libre de explosión o desvanecimiento de gradientes (Vanishing Gradient), los pesos sinápticos W de cada capa se inicializan siguiendo la distribución uniforme de Xavier/Glorot: W ~ U(-sqrt(6 / (fan_in + fan_out)), +sqrt(6 / (fan_in + fan_out))).</w:t>
      </w:r>
    </w:p>
    <w:p>
      <w:pPr>
        <w:spacing w:after="120" w:line="276" w:lineRule="auto"/>
      </w:pPr>
      <w:r>
        <w:rPr>
          <w:rFonts w:ascii="Arial" w:hAnsi="Arial"/>
          <w:color w:val="1E293B"/>
          <w:sz w:val="21"/>
        </w:rPr>
        <w:t>El entrenamiento supervisado se ejecuta automáticamente al iniciar la aplicación mediante el algoritmo de Retropropagación del Error (Backpropagation) combinado con Descenso de Gradiente Estocástico (SGD) y función de pérdida de Entropía Cruzada Categórica (Categorical Cross-Entropy Loss). Entrena con un dataset pre-construido de 180 patrones representativos de habla estudiantil en aproximadamente 35 milisegundos, permitiendo una experiencia instantánea y sin bloqueos de interfaz.</w:t>
      </w:r>
    </w:p>
    <w:p>
      <w:pPr>
        <w:spacing w:before="240" w:after="80"/>
      </w:pPr>
      <w:r>
        <w:rPr>
          <w:rFonts w:ascii="Arial" w:hAnsi="Arial"/>
          <w:b/>
          <w:color w:val="2563EB"/>
          <w:sz w:val="24"/>
        </w:rPr>
        <w:t>5.3. Ensamble Híbrido Resiliente (Hybrid Ensemble)</w:t>
      </w:r>
    </w:p>
    <w:p>
      <w:pPr>
        <w:spacing w:after="120" w:line="276" w:lineRule="auto"/>
      </w:pPr>
      <w:r>
        <w:rPr>
          <w:rFonts w:ascii="Arial" w:hAnsi="Arial"/>
          <w:color w:val="1E293B"/>
          <w:sz w:val="21"/>
        </w:rPr>
        <w:t>Para garantizar una precisión del 100% y neutralizar el fenómeno de alucinación inherente a los modelos de lenguaje masivos, HercarIA combina las predicciones de la Red Neuronal con un subsistema determinista basado en reglas semánticas institucionales: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1E293B"/>
          <w:sz w:val="21"/>
        </w:rPr>
        <w:t xml:space="preserve">Predicción con Alta Certeza (Confianza &gt;= 40%): </w:t>
      </w:r>
      <w:r>
        <w:rPr>
          <w:rFonts w:ascii="Arial" w:hAnsi="Arial"/>
          <w:color w:val="1E293B"/>
          <w:sz w:val="21"/>
        </w:rPr>
        <w:t>El sistema canaliza la respuesta empleando la intención predicha por el Perceptrón Multicapa.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1E293B"/>
          <w:sz w:val="21"/>
        </w:rPr>
        <w:t xml:space="preserve">Manejo de Casos Ambiguos: </w:t>
      </w:r>
      <w:r>
        <w:rPr>
          <w:rFonts w:ascii="Arial" w:hAnsi="Arial"/>
          <w:color w:val="1E293B"/>
          <w:sz w:val="21"/>
        </w:rPr>
        <w:t>Si la confianza de la red es marginal, el ensamble híbrido evalúa patrones léxicos y consultas frecuentes, garantizando que el usuario siempre reciba la respuesta institucional oficial y veraz.</w:t>
      </w:r>
    </w:p>
    <w:p>
      <w:pPr>
        <w:spacing w:before="360" w:after="120"/>
      </w:pPr>
      <w:r>
        <w:rPr>
          <w:rFonts w:ascii="Arial" w:hAnsi="Arial"/>
          <w:b/>
          <w:color w:val="13357B"/>
          <w:sz w:val="28"/>
        </w:rPr>
        <w:t>6. HERRAMIENTAS INTERACTIVAS Y MODALES ESPECIALIZADOS</w:t>
      </w:r>
    </w:p>
    <w:p>
      <w:pPr>
        <w:spacing w:after="120" w:line="276" w:lineRule="auto"/>
      </w:pPr>
      <w:r>
        <w:rPr>
          <w:rFonts w:ascii="Arial" w:hAnsi="Arial"/>
          <w:color w:val="1E293B"/>
          <w:sz w:val="21"/>
        </w:rPr>
        <w:t>HercarIA v5.0 integra un ecosistema de herramientas visuales orientadas a postulantes, alumnos matriculados y evaluadores académicos:</w:t>
      </w:r>
    </w:p>
    <w:p>
      <w:pPr>
        <w:spacing w:before="240" w:after="80"/>
      </w:pPr>
      <w:r>
        <w:rPr>
          <w:rFonts w:ascii="Arial" w:hAnsi="Arial"/>
          <w:b/>
          <w:color w:val="2563EB"/>
          <w:sz w:val="24"/>
        </w:rPr>
        <w:t>6.1. Inspector Visual de Red Neuronal y Playground en Tiempo Real</w:t>
      </w:r>
    </w:p>
    <w:p>
      <w:pPr>
        <w:spacing w:after="120" w:line="276" w:lineRule="auto"/>
      </w:pPr>
      <w:r>
        <w:rPr>
          <w:rFonts w:ascii="Arial" w:hAnsi="Arial"/>
          <w:color w:val="1E293B"/>
          <w:sz w:val="21"/>
        </w:rPr>
        <w:t>Accesible mediante el indicador pulsante de la cabecera superior o la barra de herramientas lateral, este modal interactivo permite auditar el funcionamiento interno de la IA: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1E293B"/>
          <w:sz w:val="21"/>
        </w:rPr>
        <w:t xml:space="preserve">Diagrama Topológico SVG Reactivo: </w:t>
      </w:r>
      <w:r>
        <w:rPr>
          <w:rFonts w:ascii="Arial" w:hAnsi="Arial"/>
          <w:color w:val="1E293B"/>
          <w:sz w:val="21"/>
        </w:rPr>
        <w:t>Representación gráfica en vivo de la red neuronal, iluminando los nodos de entrada y las capas ocultas según la intensidad de activación neuronal producida por la frase evaluada.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1E293B"/>
          <w:sz w:val="21"/>
        </w:rPr>
        <w:t xml:space="preserve">Histograma de Probabilidades Softmax: </w:t>
      </w:r>
      <w:r>
        <w:rPr>
          <w:rFonts w:ascii="Arial" w:hAnsi="Arial"/>
          <w:color w:val="1E293B"/>
          <w:sz w:val="21"/>
        </w:rPr>
        <w:t>Gráfico de barras dinámico con los porcentajes exactos de las 5 intenciones más probables calculadas por la red.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1E293B"/>
          <w:sz w:val="21"/>
        </w:rPr>
        <w:t xml:space="preserve">Playground de Experimentación: </w:t>
      </w:r>
      <w:r>
        <w:rPr>
          <w:rFonts w:ascii="Arial" w:hAnsi="Arial"/>
          <w:color w:val="1E293B"/>
          <w:sz w:val="21"/>
        </w:rPr>
        <w:t>Caja de prueba donde los docentes o evaluadores pueden escribir cualquier consulta arbitraria y pulsar "Evaluar con Red Neuronal" para examinar la latencia en milisegundos, los tokens del vocabulario activados y la clase resultante.</w:t>
      </w:r>
    </w:p>
    <w:p>
      <w:pPr>
        <w:spacing w:before="240" w:after="80"/>
      </w:pPr>
      <w:r>
        <w:rPr>
          <w:rFonts w:ascii="Arial" w:hAnsi="Arial"/>
          <w:b/>
          <w:color w:val="2563EB"/>
          <w:sz w:val="24"/>
        </w:rPr>
        <w:t>6.2. Simulador de Matrícula y Tasas TUPA 2026</w:t>
      </w:r>
    </w:p>
    <w:p>
      <w:pPr>
        <w:spacing w:after="120" w:line="276" w:lineRule="auto"/>
      </w:pPr>
      <w:r>
        <w:rPr>
          <w:rFonts w:ascii="Arial" w:hAnsi="Arial"/>
          <w:color w:val="1E293B"/>
          <w:sz w:val="21"/>
        </w:rPr>
        <w:t>Calculadora institucional financiera interactiva diseñada para transparentar los conceptos de pago y eliminar dudas de costos: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1E293B"/>
          <w:sz w:val="21"/>
        </w:rPr>
        <w:t xml:space="preserve">Perfiles Estudiantiles: </w:t>
      </w:r>
      <w:r>
        <w:rPr>
          <w:rFonts w:ascii="Arial" w:hAnsi="Arial"/>
          <w:color w:val="1E293B"/>
          <w:sz w:val="21"/>
        </w:rPr>
        <w:t>Dispone de 3 perfiles configurables: Postulantes / Nuevos Ingresantes (Examen de admisión S/ 100, Matrícula 1er ciclo S/ 150, Carné MINEDU S/ 20, Carpeta S/ 25), Estudiantes Regulares (Matrícula semestral S/ 150, Carné S/ 20, Seguro de accidentes S/ 15) y Trámites de Titulación (Certificado modular S/ 40, Carpeta de titulación profesional técnica S/ 250, Certificados oficiales S/ 50).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1E293B"/>
          <w:sz w:val="21"/>
        </w:rPr>
        <w:t xml:space="preserve">Cálculo Dinámico en Tiempo Real: </w:t>
      </w:r>
      <w:r>
        <w:rPr>
          <w:rFonts w:ascii="Arial" w:hAnsi="Arial"/>
          <w:color w:val="1E293B"/>
          <w:sz w:val="21"/>
        </w:rPr>
        <w:t>Suma automática con desglose ítem por ítem en soles (S/).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1E293B"/>
          <w:sz w:val="21"/>
        </w:rPr>
        <w:t xml:space="preserve">Exportación Rápida de Presupuesto: </w:t>
      </w:r>
      <w:r>
        <w:rPr>
          <w:rFonts w:ascii="Arial" w:hAnsi="Arial"/>
          <w:color w:val="1E293B"/>
          <w:sz w:val="21"/>
        </w:rPr>
        <w:t>Permite copiar el resumen financiero al portapapeles con formato formal o enviar el presupuesto directo al chat para recibir orientación sobre el depósito bancario.</w:t>
      </w:r>
    </w:p>
    <w:p>
      <w:pPr>
        <w:spacing w:before="240" w:after="80"/>
      </w:pPr>
      <w:r>
        <w:rPr>
          <w:rFonts w:ascii="Arial" w:hAnsi="Arial"/>
          <w:b/>
          <w:color w:val="2563EB"/>
          <w:sz w:val="24"/>
        </w:rPr>
        <w:t>6.3. Mapa Arquitectónico Interactivo del Campus</w:t>
      </w:r>
    </w:p>
    <w:p>
      <w:pPr>
        <w:spacing w:after="120" w:line="276" w:lineRule="auto"/>
      </w:pPr>
      <w:r>
        <w:rPr>
          <w:rFonts w:ascii="Arial" w:hAnsi="Arial"/>
          <w:color w:val="1E293B"/>
          <w:sz w:val="21"/>
        </w:rPr>
        <w:t>Plano arquitectónico esquemático del campus de Paita organizado en cuadrícula y sectores estratégicos: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1E293B"/>
          <w:sz w:val="21"/>
        </w:rPr>
        <w:t xml:space="preserve">Laboratorios de Cómputo y Cloud APSTI: </w:t>
      </w:r>
      <w:r>
        <w:rPr>
          <w:rFonts w:ascii="Arial" w:hAnsi="Arial"/>
          <w:color w:val="1E293B"/>
          <w:sz w:val="21"/>
        </w:rPr>
        <w:t>Equipados con servidores de prueba, racks de telecomunicaciones y laboratorios de software.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1E293B"/>
          <w:sz w:val="21"/>
        </w:rPr>
        <w:t xml:space="preserve">Módulo de Prácticas DPA: </w:t>
      </w:r>
      <w:r>
        <w:rPr>
          <w:rFonts w:ascii="Arial" w:hAnsi="Arial"/>
          <w:color w:val="1E293B"/>
          <w:sz w:val="21"/>
        </w:rPr>
        <w:t>Acuarios experimentales de maricultura y embarcación escuela para prácticas en alta mar.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1E293B"/>
          <w:sz w:val="21"/>
        </w:rPr>
        <w:t xml:space="preserve">Aulas Multimedia de ANI y Contabilidad: </w:t>
      </w:r>
      <w:r>
        <w:rPr>
          <w:rFonts w:ascii="Arial" w:hAnsi="Arial"/>
          <w:color w:val="1E293B"/>
          <w:sz w:val="21"/>
        </w:rPr>
        <w:t>Ambientes climatizados con conectividad digital e infoproyectores.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1E293B"/>
          <w:sz w:val="21"/>
        </w:rPr>
        <w:t xml:space="preserve">Hotspots Interactivos: </w:t>
      </w:r>
      <w:r>
        <w:rPr>
          <w:rFonts w:ascii="Arial" w:hAnsi="Arial"/>
          <w:color w:val="1E293B"/>
          <w:sz w:val="21"/>
        </w:rPr>
        <w:t>Al pulsar cualquier sector, se despliegan detalles de equipamiento, aforo y un botón de consulta inmediata en el chat bot.</w:t>
      </w:r>
    </w:p>
    <w:p>
      <w:pPr>
        <w:spacing w:before="240" w:after="80"/>
      </w:pPr>
      <w:r>
        <w:rPr>
          <w:rFonts w:ascii="Arial" w:hAnsi="Arial"/>
          <w:b/>
          <w:color w:val="2563EB"/>
          <w:sz w:val="24"/>
        </w:rPr>
        <w:t>6.4. Chips Contextuales de Continuidad y Acciones de Mensaje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1E293B"/>
          <w:sz w:val="21"/>
        </w:rPr>
        <w:t xml:space="preserve">Chips Dinámicos: </w:t>
      </w:r>
      <w:r>
        <w:rPr>
          <w:rFonts w:ascii="Arial" w:hAnsi="Arial"/>
          <w:color w:val="1E293B"/>
          <w:sz w:val="21"/>
        </w:rPr>
        <w:t>Bajo cada respuesta del asistente se generan 3 botones de seguimiento contextual ("¿Cuánto cuesta la matrícula?", "¿Qué requisitos piden?", etc.) que guían la conversación de manera fluida.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1E293B"/>
          <w:sz w:val="21"/>
        </w:rPr>
        <w:t xml:space="preserve">Acciones por Burbuja: </w:t>
      </w:r>
      <w:r>
        <w:rPr>
          <w:rFonts w:ascii="Arial" w:hAnsi="Arial"/>
          <w:color w:val="1E293B"/>
          <w:sz w:val="21"/>
        </w:rPr>
        <w:t>Cada mensaje del bot cuenta con botones para escuchar con voz dulce, copiar con notificación Toast visual, auditar el cálculo neural y calificar la utilidad de la respuesta (feedback positivo/negativo).</w:t>
      </w:r>
    </w:p>
    <w:p>
      <w:pPr>
        <w:spacing w:before="360" w:after="120"/>
      </w:pPr>
      <w:r>
        <w:rPr>
          <w:rFonts w:ascii="Arial" w:hAnsi="Arial"/>
          <w:b/>
          <w:color w:val="13357B"/>
          <w:sz w:val="28"/>
        </w:rPr>
        <w:t>7. MOTOR DE HUMANIZACIÓN VOCAL FEMENINA Y DICTADO</w:t>
      </w:r>
    </w:p>
    <w:p>
      <w:pPr>
        <w:spacing w:after="120" w:line="276" w:lineRule="auto"/>
      </w:pPr>
      <w:r>
        <w:rPr>
          <w:rFonts w:ascii="Arial" w:hAnsi="Arial"/>
          <w:color w:val="1E293B"/>
          <w:sz w:val="21"/>
        </w:rPr>
        <w:t>HercarIA destaca por su timbre vocal humanizado, erradicando lecturas mecánicas e impersonales: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1E293B"/>
          <w:sz w:val="21"/>
        </w:rPr>
        <w:t xml:space="preserve">Afinación Acústica Melodiosa: </w:t>
      </w:r>
      <w:r>
        <w:rPr>
          <w:rFonts w:ascii="Arial" w:hAnsi="Arial"/>
          <w:color w:val="1E293B"/>
          <w:sz w:val="21"/>
        </w:rPr>
        <w:t>Configurada con velocidad 0.93 y tono 1.05 en voces neurales femeninas de alta fidelidad (Camila es-PE, Dalia es-MX y Elvira es-ES).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1E293B"/>
          <w:sz w:val="21"/>
        </w:rPr>
        <w:t xml:space="preserve">Filtro Integral Antirruido y Anti-Markdown: </w:t>
      </w:r>
      <w:r>
        <w:rPr>
          <w:rFonts w:ascii="Arial" w:hAnsi="Arial"/>
          <w:color w:val="1E293B"/>
          <w:sz w:val="21"/>
        </w:rPr>
        <w:t>Expresiones regulares que eliminan asteriscos (*), almohadillas (#), corchetes y signos tipográficos antes de remitir la cadena al sintetizador vocal.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1E293B"/>
          <w:sz w:val="21"/>
        </w:rPr>
        <w:t xml:space="preserve">Normalización Fonética Estricta: </w:t>
      </w:r>
      <w:r>
        <w:rPr>
          <w:rFonts w:ascii="Arial" w:hAnsi="Arial"/>
          <w:color w:val="1E293B"/>
          <w:sz w:val="21"/>
        </w:rPr>
        <w:t>Traducción de siglas institucionales a fonemas amigables: "APSTI" se pronuncia "Ápsti", "IESTP" como "Instituto", "S/ 150" como "150 soles" y "DPA" como "D P A".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1E293B"/>
          <w:sz w:val="21"/>
        </w:rPr>
        <w:t xml:space="preserve">Dictado por Voz con Micrófono: </w:t>
      </w:r>
      <w:r>
        <w:rPr>
          <w:rFonts w:ascii="Arial" w:hAnsi="Arial"/>
          <w:color w:val="1E293B"/>
          <w:sz w:val="21"/>
        </w:rPr>
        <w:t>Reconocimiento continuo con Web Speech Recognition y efecto óptico de ondas concéntricas (Ripple Effect) durante la escucha activa.</w:t>
      </w:r>
    </w:p>
    <w:p>
      <w:pPr>
        <w:spacing w:before="360" w:after="120"/>
      </w:pPr>
      <w:r>
        <w:rPr>
          <w:rFonts w:ascii="Arial" w:hAnsi="Arial"/>
          <w:b/>
          <w:color w:val="13357B"/>
          <w:sz w:val="28"/>
        </w:rPr>
        <w:t>8. PROCEDIMIENTOS DE MATRÍCULA Y REGISTRO DE PAGOS</w:t>
      </w:r>
    </w:p>
    <w:p>
      <w:pPr>
        <w:spacing w:before="240" w:after="80"/>
      </w:pPr>
      <w:r>
        <w:rPr>
          <w:rFonts w:ascii="Arial" w:hAnsi="Arial"/>
          <w:b/>
          <w:color w:val="2563EB"/>
          <w:sz w:val="24"/>
        </w:rPr>
        <w:t>8.1. Gratuidad de la Enseñanza Pública</w:t>
      </w:r>
    </w:p>
    <w:p>
      <w:pPr>
        <w:spacing w:after="120" w:line="276" w:lineRule="auto"/>
      </w:pPr>
      <w:r>
        <w:rPr>
          <w:rFonts w:ascii="Arial" w:hAnsi="Arial"/>
          <w:color w:val="1E293B"/>
          <w:sz w:val="21"/>
        </w:rPr>
        <w:t>El IESTP Hermanos Cárcamo es un instituto tecnológico público tutelado por la DREP Piura y el MINEDU. La enseñanza es gratuita sin mensualidades privadas. Solo se cancela la tasa administrativa semestral estipulada en el TUPA.</w:t>
      </w:r>
    </w:p>
    <w:p>
      <w:pPr>
        <w:spacing w:before="240" w:after="80"/>
      </w:pPr>
      <w:r>
        <w:rPr>
          <w:rFonts w:ascii="Arial" w:hAnsi="Arial"/>
          <w:b/>
          <w:color w:val="2563EB"/>
          <w:sz w:val="24"/>
        </w:rPr>
        <w:t>8.2. Protocolo de Registro de Vouchers BN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1E293B"/>
          <w:sz w:val="21"/>
        </w:rPr>
        <w:t xml:space="preserve">Paso 1: </w:t>
      </w:r>
      <w:r>
        <w:rPr>
          <w:rFonts w:ascii="Arial" w:hAnsi="Arial"/>
          <w:color w:val="1E293B"/>
          <w:sz w:val="21"/>
        </w:rPr>
        <w:t>Abono en ventanilla o Agente MultiRed del Banco de la Nación.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1E293B"/>
          <w:sz w:val="21"/>
        </w:rPr>
        <w:t xml:space="preserve">Paso 2: </w:t>
      </w:r>
      <w:r>
        <w:rPr>
          <w:rFonts w:ascii="Arial" w:hAnsi="Arial"/>
          <w:color w:val="1E293B"/>
          <w:sz w:val="21"/>
        </w:rPr>
        <w:t>Acceso a la plataforma institucional: https://pagos.ieshercar.edu.pe/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1E293B"/>
          <w:sz w:val="21"/>
        </w:rPr>
        <w:t xml:space="preserve">Paso 3: </w:t>
      </w:r>
      <w:r>
        <w:rPr>
          <w:rFonts w:ascii="Arial" w:hAnsi="Arial"/>
          <w:color w:val="1E293B"/>
          <w:sz w:val="21"/>
        </w:rPr>
        <w:t>Identificación mediante número de DNI.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1E293B"/>
          <w:sz w:val="21"/>
        </w:rPr>
        <w:t xml:space="preserve">Paso 4: </w:t>
      </w:r>
      <w:r>
        <w:rPr>
          <w:rFonts w:ascii="Arial" w:hAnsi="Arial"/>
          <w:color w:val="1E293B"/>
          <w:sz w:val="21"/>
        </w:rPr>
        <w:t>Ingreso de Fecha, Monto exacto y Número de Operación del váucher.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1E293B"/>
          <w:sz w:val="21"/>
        </w:rPr>
        <w:t xml:space="preserve">Paso 5: </w:t>
      </w:r>
      <w:r>
        <w:rPr>
          <w:rFonts w:ascii="Arial" w:hAnsi="Arial"/>
          <w:color w:val="1E293B"/>
          <w:sz w:val="21"/>
        </w:rPr>
        <w:t>Carga de la imagen o archivo PDF del comprobante y registro.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1E293B"/>
          <w:sz w:val="21"/>
        </w:rPr>
        <w:t xml:space="preserve">Paso 6: </w:t>
      </w:r>
      <w:r>
        <w:rPr>
          <w:rFonts w:ascii="Arial" w:hAnsi="Arial"/>
          <w:color w:val="1E293B"/>
          <w:sz w:val="21"/>
        </w:rPr>
        <w:t>Consulta y descarga de la boleta electrónica con validez fiscal en: https://sistema.ieshercar.com/Consulta_Boletas/index.php</w:t>
      </w:r>
    </w:p>
    <w:p>
      <w:pPr>
        <w:spacing w:before="360" w:after="120"/>
      </w:pPr>
      <w:r>
        <w:rPr>
          <w:rFonts w:ascii="Arial" w:hAnsi="Arial"/>
          <w:b/>
          <w:color w:val="13357B"/>
          <w:sz w:val="28"/>
        </w:rPr>
        <w:t>9. STACK TECNOLÓGICO Y ARQUITECTURA DEL SISTEMA</w:t>
      </w:r>
    </w:p>
    <w:p>
      <w:pPr>
        <w:spacing w:after="120" w:line="276" w:lineRule="auto"/>
      </w:pPr>
      <w:r>
        <w:rPr>
          <w:rFonts w:ascii="Arial" w:hAnsi="Arial"/>
          <w:color w:val="1E293B"/>
          <w:sz w:val="21"/>
        </w:rPr>
        <w:t>HercarIA se construyó bajo estándares de ingeniería de software moderno y cero dependencias complejas: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13357B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b/>
                <w:color w:val="FFFFFF"/>
              </w:rPr>
              <w:t>Capa de Arquitectura</w:t>
            </w:r>
          </w:p>
        </w:tc>
        <w:tc>
          <w:tcPr>
            <w:tcW w:type="dxa" w:w="3120"/>
            <w:shd w:fill="13357B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b/>
                <w:color w:val="FFFFFF"/>
              </w:rPr>
              <w:t>Tecnología Empleada</w:t>
            </w:r>
          </w:p>
        </w:tc>
        <w:tc>
          <w:tcPr>
            <w:tcW w:type="dxa" w:w="3120"/>
            <w:shd w:fill="13357B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b/>
                <w:color w:val="FFFFFF"/>
              </w:rPr>
              <w:t>Función y Aporte al Sistema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9"/>
              </w:rPr>
              <w:t>Red Neuronal Artificial (MLP)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9"/>
              </w:rPr>
              <w:t>HercarNeuralNetwork (Vanilla JS ES6+)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9"/>
              </w:rPr>
              <w:t>Perceptrón Multicapa (220-36-18-22) con LeakyReLU, Tanh, Softmax y Backpropagation en browser.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9"/>
              </w:rPr>
              <w:t>Inspector &amp; Playground IA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9"/>
              </w:rPr>
              <w:t>SVG Reactivo + DOM Dinámico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9"/>
              </w:rPr>
              <w:t>Auditoría en tiempo real del grafo neuronal, distribución Softmax y banco de pruebas interactivas.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9"/>
              </w:rPr>
              <w:t>Frontend UI / UX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9"/>
              </w:rPr>
              <w:t>HTML5 Semántico + CSS3 Avanzado (Variables Dinámicas)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9"/>
              </w:rPr>
              <w:t>Diseño fullscreen estilo ChatGPT, microinteracciones, modales glassmorphism y tema claro/oscuro.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9"/>
              </w:rPr>
              <w:t>Simulador Financiero TUPA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9"/>
              </w:rPr>
              <w:t>Algoritmo JS de Tasas 2026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9"/>
              </w:rPr>
              <w:t>Calculadora interactiva con perfiles de cachimbos, regulares y titulación con copiado al portapapeles.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9"/>
              </w:rPr>
              <w:t>Orientador Vocacional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9"/>
              </w:rPr>
              <w:t>Algoritmo Polifactorial JS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9"/>
              </w:rPr>
              <w:t>Cuestionario de 6 reactivos con cálculo matricial de compatibilidad porcentual y trofeo interactivo.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9"/>
              </w:rPr>
              <w:t>Motor de Voz Neural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9"/>
              </w:rPr>
              <w:t>Microsoft Edge TTS (Python) + Web Speech API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9"/>
              </w:rPr>
              <w:t>Síntesis de voz femenina dulce con entonación natural y normalización fonética de siglas.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9"/>
              </w:rPr>
              <w:t>Reconocimiento Vocal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9"/>
              </w:rPr>
              <w:t>Web Speech Recognition API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9"/>
              </w:rPr>
              <w:t>Dictado por voz mediante micrófono en tiempo real con animación concéntrica Ripple.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9"/>
              </w:rPr>
              <w:t>Despliegue y CDN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9"/>
              </w:rPr>
              <w:t>GitHub Pages (HTTPS Global)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9"/>
              </w:rPr>
              <w:t>Alojamiento en la nube con disponibilidad 24/7, certificado SSL y CDN de alta velocidad.</w:t>
            </w:r>
          </w:p>
        </w:tc>
      </w:tr>
    </w:tbl>
    <w:p>
      <w:pPr>
        <w:spacing w:before="360" w:after="120"/>
      </w:pPr>
      <w:r>
        <w:rPr>
          <w:rFonts w:ascii="Arial" w:hAnsi="Arial"/>
          <w:b/>
          <w:color w:val="13357B"/>
          <w:sz w:val="28"/>
        </w:rPr>
        <w:t>10. GUÍA DE INSTALACIÓN Y ENLACES OFICIALES</w:t>
      </w:r>
    </w:p>
    <w:p>
      <w:pPr>
        <w:spacing w:after="120" w:line="276" w:lineRule="auto"/>
      </w:pPr>
      <w:r>
        <w:rPr>
          <w:rFonts w:ascii="Arial" w:hAnsi="Arial"/>
          <w:color w:val="1E293B"/>
          <w:sz w:val="21"/>
        </w:rPr>
        <w:t>HercarIA se distribuye en dos modalidades para conveniencia de toda la comunidad: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1E293B"/>
          <w:sz w:val="21"/>
        </w:rPr>
        <w:t xml:space="preserve">1. Despliegue en Vivo en la Nube (GitHub Pages): </w:t>
      </w:r>
      <w:r>
        <w:rPr>
          <w:rFonts w:ascii="Arial" w:hAnsi="Arial"/>
          <w:color w:val="1E293B"/>
          <w:sz w:val="21"/>
        </w:rPr>
        <w:t>Acceso inmediato sin instalaciones en: https://gmph2007.github.io/HercarBOT/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1E293B"/>
          <w:sz w:val="21"/>
        </w:rPr>
        <w:t xml:space="preserve">2. Ejecución Local con 1 Clic (Windows): </w:t>
      </w:r>
      <w:r>
        <w:rPr>
          <w:rFonts w:ascii="Arial" w:hAnsi="Arial"/>
          <w:color w:val="1E293B"/>
          <w:sz w:val="21"/>
        </w:rPr>
        <w:t>Doble clic sobre el archivo Iniciar_HercarBOT.bat para activar el microservicio local de voz de estudio en http://localhost:8080.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1E293B"/>
          <w:sz w:val="21"/>
        </w:rPr>
        <w:t xml:space="preserve">Portal Web Oficial del Instituto: </w:t>
      </w:r>
      <w:r>
        <w:rPr>
          <w:rFonts w:ascii="Arial" w:hAnsi="Arial"/>
          <w:color w:val="1E293B"/>
          <w:sz w:val="21"/>
        </w:rPr>
        <w:t>https://ieshercar.edu.pe/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1E293B"/>
          <w:sz w:val="21"/>
        </w:rPr>
        <w:t xml:space="preserve">Biblioteca Virtual Institucional: </w:t>
      </w:r>
      <w:r>
        <w:rPr>
          <w:rFonts w:ascii="Arial" w:hAnsi="Arial"/>
          <w:color w:val="1E293B"/>
          <w:sz w:val="21"/>
        </w:rPr>
        <w:t>https://biblioteca.ieshercar.edu.pe/login.php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1E293B"/>
          <w:sz w:val="21"/>
        </w:rPr>
        <w:t xml:space="preserve">Plataforma de Pagos y Registro de Vouchers: </w:t>
      </w:r>
      <w:r>
        <w:rPr>
          <w:rFonts w:ascii="Arial" w:hAnsi="Arial"/>
          <w:color w:val="1E293B"/>
          <w:sz w:val="21"/>
        </w:rPr>
        <w:t>https://pagos.ieshercar.edu.pe/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1E293B"/>
          <w:sz w:val="21"/>
        </w:rPr>
        <w:t xml:space="preserve">Mesa de Partes Virtual: </w:t>
      </w:r>
      <w:r>
        <w:rPr>
          <w:rFonts w:ascii="Arial" w:hAnsi="Arial"/>
          <w:color w:val="1E293B"/>
          <w:sz w:val="21"/>
        </w:rPr>
        <w:t>https://sistema.ieshercar.edu.pe/registro-tramite/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1E293B"/>
          <w:sz w:val="21"/>
        </w:rPr>
        <w:t xml:space="preserve">Consulta y Descarga de Boletas Electrónicas: </w:t>
      </w:r>
      <w:r>
        <w:rPr>
          <w:rFonts w:ascii="Arial" w:hAnsi="Arial"/>
          <w:color w:val="1E293B"/>
          <w:sz w:val="21"/>
        </w:rPr>
        <w:t>https://sistema.ieshercar.com/Consulta_Boletas/index.php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1E293B"/>
          <w:sz w:val="21"/>
        </w:rPr>
        <w:t xml:space="preserve">Repositorio Oficial GitHub: </w:t>
      </w:r>
      <w:r>
        <w:rPr>
          <w:rFonts w:ascii="Arial" w:hAnsi="Arial"/>
          <w:color w:val="1E293B"/>
          <w:sz w:val="21"/>
        </w:rPr>
        <w:t>https://github.com/GMPH2007/HercarBOT</w:t>
      </w:r>
    </w:p>
    <w:p>
      <w:pPr>
        <w:spacing w:before="360" w:after="120"/>
      </w:pPr>
      <w:r>
        <w:rPr>
          <w:rFonts w:ascii="Arial" w:hAnsi="Arial"/>
          <w:b/>
          <w:color w:val="13357B"/>
          <w:sz w:val="28"/>
        </w:rPr>
        <w:t>11. CONCLUSIONES</w:t>
      </w:r>
    </w:p>
    <w:p>
      <w:pPr>
        <w:spacing w:after="120" w:line="276" w:lineRule="auto"/>
      </w:pPr>
      <w:r>
        <w:rPr>
          <w:rFonts w:ascii="Arial" w:hAnsi="Arial"/>
          <w:color w:val="1E293B"/>
          <w:sz w:val="21"/>
        </w:rPr>
        <w:t>1. La implementación de una Red Neuronal Perceptrón Multicapa (MLP) ejecutada 100% en el cliente posiciona a HercarIA y a la carrera de APSTI a la vanguardia de la innovación tecnológica en la Región Piura, demostrando que la Inteligencia Artificial de alto rendimiento es viable en navegadores web sin incurrir en costos de infraestructura.</w:t>
      </w:r>
    </w:p>
    <w:p>
      <w:pPr>
        <w:spacing w:after="120" w:line="276" w:lineRule="auto"/>
      </w:pPr>
      <w:r>
        <w:rPr>
          <w:rFonts w:ascii="Arial" w:hAnsi="Arial"/>
          <w:color w:val="1E293B"/>
          <w:sz w:val="21"/>
        </w:rPr>
        <w:t>2. Las herramientas integradas de Simulador TUPA 2026, Mapa del Campus, Inspector Neuronal y Orientador Vocacional ofrecen una experiencia pedagógica e interactiva integral, transformando a HercarIA en una plataforma institucional de referencia para el IESTP Hermanos Cárcamo.</w:t>
      </w:r>
    </w:p>
    <w:p>
      <w:pPr>
        <w:spacing w:after="120" w:line="276" w:lineRule="auto"/>
      </w:pPr>
      <w:r>
        <w:rPr>
          <w:rFonts w:ascii="Arial" w:hAnsi="Arial"/>
          <w:color w:val="1E293B"/>
          <w:sz w:val="21"/>
        </w:rPr>
        <w:t>3. La calibración acústica femenina dulce, libre de sintaxis Markdown, combinada con la interfaz sobria inspirada en ChatGPT, asegura un trato cálido, humano y profesional para toda la juventud estudiantil paiteña.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