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Arial" w:hAnsi="Arial"/>
          <w:b/>
          <w:color w:val="13357B"/>
          <w:sz w:val="26"/>
        </w:rPr>
        <w:t>INSTITUTO DE EDUCACIÓN SUPERIOR TECNOLÓGICO PÚBLICO</w:t>
        <w:br/>
      </w:r>
      <w:r>
        <w:rPr>
          <w:rFonts w:ascii="Arial" w:hAnsi="Arial"/>
          <w:b/>
          <w:color w:val="13357B"/>
          <w:sz w:val="28"/>
        </w:rPr>
        <w:t>"HERMANOS CÁRCAMO" — PAITA, PIURA</w:t>
        <w:br/>
      </w:r>
      <w:r>
        <w:rPr>
          <w:rFonts w:ascii="Arial" w:hAnsi="Arial"/>
          <w:b/>
          <w:color w:val="2563EB"/>
          <w:sz w:val="20"/>
        </w:rPr>
        <w:t>CARRERA PROFESIONAL TÉCNICA DE ARQUITECTURA DE PLATAFORMAS Y SERVICIOS DE TECNOLOGÍAS DE LA INFORMACIÓN (APSTI)</w:t>
      </w:r>
    </w:p>
    <w:p>
      <w:pPr>
        <w:jc w:val="center"/>
      </w:pPr>
    </w:p>
    <w:p>
      <w:pPr>
        <w:spacing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ogo-crest.png"/>
                    <pic:cNvPicPr/>
                  </pic:nvPicPr>
                  <pic:blipFill>
                    <a:blip r:embed="rId11"/>
                    <a:stretch>
                      <a:fillRect/>
                    </a:stretch>
                  </pic:blipFill>
                  <pic:spPr>
                    <a:xfrm>
                      <a:off x="0" y="0"/>
                      <a:ext cx="1920240" cy="1920240"/>
                    </a:xfrm>
                    <a:prstGeom prst="rect"/>
                  </pic:spPr>
                </pic:pic>
              </a:graphicData>
            </a:graphic>
          </wp:inline>
        </w:drawing>
      </w:r>
    </w:p>
    <w:p>
      <w:pPr>
        <w:spacing w:after="440"/>
        <w:jc w:val="center"/>
      </w:pPr>
      <w:r>
        <w:rPr>
          <w:rFonts w:ascii="Arial" w:hAnsi="Arial"/>
          <w:b/>
          <w:color w:val="B45309"/>
          <w:sz w:val="26"/>
        </w:rPr>
        <w:t>PROYECTO DE APLICACIÓN PROFESIONAL</w:t>
        <w:br/>
      </w:r>
      <w:r>
        <w:rPr>
          <w:rFonts w:ascii="Arial" w:hAnsi="Arial"/>
          <w:b/>
          <w:color w:val="13357B"/>
          <w:sz w:val="32"/>
        </w:rPr>
        <w:t>"SISTEMA ASISTENTE VIRTUAL INTELIGENTE CON RED NEURONAL LOCAL Y ARQUITECTURA HÍBRIDA PARA LA OPTIMIZACIÓN DE LA ORIENTACIÓN ESTUDIANTIL Y GESTIÓN ACADÉMICA EN EL I.E.S.T.P. ‘HERMANOS CÁRCAMO’ DE PAITA"</w:t>
      </w:r>
    </w:p>
    <w:p>
      <w:pPr>
        <w:spacing w:after="520"/>
        <w:jc w:val="center"/>
      </w:pPr>
      <w:r>
        <w:rPr>
          <w:rFonts w:ascii="Arial" w:hAnsi="Arial"/>
          <w:b/>
          <w:color w:val="1E293B"/>
          <w:sz w:val="21"/>
        </w:rPr>
        <w:t>MEMORIA TÉCNICA DESCRIPTIVA PARA OPTAR EL TÍTULO PROFESIONAL TÉCNICO EN:</w:t>
        <w:br/>
        <w:t>ARQUITECTURA DE PLATAFORMAS Y SERVICIOS DE TECNOLOGÍAS DE LA INFORMACIÓN</w:t>
      </w:r>
    </w:p>
    <w:p>
      <w:pPr>
        <w:jc w:val="center"/>
      </w:pPr>
      <w:r>
        <w:rPr>
          <w:b/>
          <w:color w:val="13357B"/>
          <w:sz w:val="20"/>
        </w:rPr>
        <w:t>AUTOR / SUSTENTANTE:</w:t>
        <w:br/>
      </w:r>
      <w:r>
        <w:rPr>
          <w:b/>
          <w:color w:val="1E293B"/>
          <w:sz w:val="24"/>
        </w:rPr>
        <w:t>Gerson Misael Pintado Huamán</w:t>
        <w:br/>
        <w:br/>
      </w:r>
      <w:r>
        <w:rPr>
          <w:b/>
          <w:color w:val="13357B"/>
          <w:sz w:val="20"/>
        </w:rPr>
        <w:t>ASESOR TÉCNICO Y METODOLÓGICO:</w:t>
        <w:br/>
      </w:r>
      <w:r>
        <w:rPr>
          <w:b/>
          <w:color w:val="1E293B"/>
          <w:sz w:val="22"/>
        </w:rPr>
        <w:t>Docente Asesor del Área de Computación e Informática / APSTI</w:t>
        <w:br/>
        <w:br/>
      </w:r>
      <w:r>
        <w:rPr>
          <w:b/>
          <w:color w:val="64748B"/>
          <w:sz w:val="22"/>
        </w:rPr>
        <w:t>PAITA — PIURA, PERÚ</w:t>
        <w:br/>
        <w:t>2026</w:t>
      </w:r>
    </w:p>
    <w:p>
      <w:r>
        <w:br w:type="page"/>
      </w:r>
    </w:p>
    <w:p>
      <w:pPr>
        <w:keepNext/>
        <w:spacing w:before="360" w:after="120"/>
      </w:pPr>
      <w:r>
        <w:rPr>
          <w:rFonts w:ascii="Arial" w:hAnsi="Arial"/>
          <w:b/>
          <w:color w:val="13357B"/>
          <w:sz w:val="28"/>
        </w:rPr>
        <w:t>DEDICATORIA</w:t>
      </w:r>
    </w:p>
    <w:p>
      <w:pPr>
        <w:spacing w:after="120" w:line="300" w:lineRule="auto"/>
        <w:jc w:val="both"/>
      </w:pPr>
      <w:r>
        <w:rPr>
          <w:rFonts w:ascii="Arial" w:hAnsi="Arial"/>
          <w:i/>
          <w:color w:val="1E293B"/>
          <w:sz w:val="21"/>
        </w:rPr>
        <w:t>A mis padres, quienes con su trabajo diario, sacrificio y ejemplo de constancia me enseñaron que la superación personal no tiene límites cuando se pone el corazón y la disciplina en lo que se hace. Este logro es para ellos, como muestra de gratitud por cada desvelo y por haber creído en mi vocación hacia las tecnologías de la información.</w:t>
      </w:r>
    </w:p>
    <w:p>
      <w:pPr>
        <w:spacing w:after="120" w:line="300" w:lineRule="auto"/>
        <w:jc w:val="both"/>
      </w:pPr>
      <w:r>
        <w:rPr>
          <w:rFonts w:ascii="Arial" w:hAnsi="Arial"/>
          <w:i/>
          <w:color w:val="1E293B"/>
          <w:sz w:val="21"/>
        </w:rPr>
        <w:t>A mi familia y hermanos, por su paciencia en los momentos de largas jornadas de programación frente al computador, y por brindarme siempre una palabra de aliento para nunca rendirme.</w:t>
      </w:r>
    </w:p>
    <w:p>
      <w:pPr>
        <w:keepNext/>
        <w:spacing w:before="360" w:after="120"/>
      </w:pPr>
      <w:r>
        <w:rPr>
          <w:rFonts w:ascii="Arial" w:hAnsi="Arial"/>
          <w:b/>
          <w:color w:val="13357B"/>
          <w:sz w:val="28"/>
        </w:rPr>
        <w:t>AGRADECIMIENTOS</w:t>
      </w:r>
    </w:p>
    <w:p>
      <w:pPr>
        <w:spacing w:after="120" w:line="300" w:lineRule="auto"/>
        <w:jc w:val="both"/>
      </w:pPr>
      <w:r>
        <w:rPr>
          <w:rFonts w:ascii="Arial" w:hAnsi="Arial"/>
          <w:i w:val="0"/>
          <w:color w:val="1E293B"/>
          <w:sz w:val="21"/>
        </w:rPr>
        <w:t>A Dios, por darme la salud, la sabiduría y la perseverancia necesarias para culminar cada semestre de mi formación técnica.</w:t>
      </w:r>
    </w:p>
    <w:p>
      <w:pPr>
        <w:spacing w:after="120" w:line="300" w:lineRule="auto"/>
        <w:jc w:val="both"/>
      </w:pPr>
      <w:r>
        <w:rPr>
          <w:rFonts w:ascii="Arial" w:hAnsi="Arial"/>
          <w:i w:val="0"/>
          <w:color w:val="1E293B"/>
          <w:sz w:val="21"/>
        </w:rPr>
        <w:t>Al Instituto de Educación Superior Tecnológico Público "Hermanos Cárcamo" de Paita, mi alma mater, por abrir sus puertas a la juventud de nuestra provincia y brindarnos una educación técnica pública, gratuita y de alto nivel competitivo.</w:t>
      </w:r>
    </w:p>
    <w:p>
      <w:pPr>
        <w:spacing w:after="120" w:line="300" w:lineRule="auto"/>
        <w:jc w:val="both"/>
      </w:pPr>
      <w:r>
        <w:rPr>
          <w:rFonts w:ascii="Arial" w:hAnsi="Arial"/>
          <w:i w:val="0"/>
          <w:color w:val="1E293B"/>
          <w:sz w:val="21"/>
        </w:rPr>
        <w:t>A mis profesores de la carrera de Arquitectura de Plataformas y Servicios de Tecnologías de la Información (APSTI), quienes no solo nos transmitieron conocimientos sólidos en desarrollo de software, servidores, redes y bases de datos, sino que nos formaron con valores éticos y vocación de servicio para resolver problemas reales en nuestra comunidad.</w:t>
      </w:r>
    </w:p>
    <w:p>
      <w:pPr>
        <w:spacing w:after="120" w:line="300" w:lineRule="auto"/>
        <w:jc w:val="both"/>
      </w:pPr>
      <w:r>
        <w:rPr>
          <w:rFonts w:ascii="Arial" w:hAnsi="Arial"/>
          <w:i w:val="0"/>
          <w:color w:val="1E293B"/>
          <w:sz w:val="21"/>
        </w:rPr>
        <w:t>A mis compañeros de clase, con quienes compartí vivencias, proyectos y el anhelo común de salir adelante y aportar al progreso del puerto de Paita.</w:t>
      </w:r>
    </w:p>
    <w:p>
      <w:r>
        <w:br w:type="page"/>
      </w:r>
    </w:p>
    <w:p>
      <w:pPr>
        <w:keepNext/>
        <w:spacing w:before="360" w:after="120"/>
      </w:pPr>
      <w:r>
        <w:rPr>
          <w:rFonts w:ascii="Arial" w:hAnsi="Arial"/>
          <w:b/>
          <w:color w:val="13357B"/>
          <w:sz w:val="28"/>
        </w:rPr>
        <w:t>PRESENTACIÓN</w:t>
      </w:r>
    </w:p>
    <w:p>
      <w:pPr>
        <w:spacing w:after="120" w:line="300" w:lineRule="auto"/>
        <w:jc w:val="both"/>
      </w:pPr>
      <w:r>
        <w:rPr>
          <w:rFonts w:ascii="Arial" w:hAnsi="Arial"/>
          <w:i w:val="0"/>
          <w:color w:val="1E293B"/>
          <w:sz w:val="21"/>
        </w:rPr>
        <w:t>Señores Miembros del Jurado Calificador:</w:t>
        <w:br/>
        <w:br/>
        <w:t>En cumplimiento de las disposiciones académicas y reglamentarias vigentes del Instituto de Educación Superior Tecnológico Público "Hermanos Cárcamo", orientadas a la obtención del Título Profesional Técnico en la carrera de Arquitectura de Plataformas y Servicios de Tecnologías de la Información (APSTI), tengo el honor de someter a su consideración y rigurosa evaluación la presente Memoria Descriptiva y Proyecto de Aplicación Profesional titulado:</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36" w:space="0" w:color="13357B"/>
              <w:top w:val="none"/>
              <w:bottom w:val="none"/>
              <w:right w:val="none"/>
            </w:tcBorders>
          </w:tcPr>
          <w:p>
            <w:pPr>
              <w:spacing w:after="80" w:line="288" w:lineRule="auto"/>
            </w:pPr>
            <w:r>
              <w:rPr>
                <w:rFonts w:ascii="Arial" w:hAnsi="Arial"/>
                <w:b/>
                <w:color w:val="13357B"/>
                <w:sz w:val="21"/>
              </w:rPr>
              <w:t>Título del Proyecto de Aplicación Profesional:</w:t>
              <w:br/>
            </w:r>
            <w:r>
              <w:rPr>
                <w:rFonts w:ascii="Arial" w:hAnsi="Arial"/>
                <w:i/>
                <w:color w:val="1E293B"/>
                <w:sz w:val="20"/>
              </w:rPr>
              <w:t>"SISTEMA ASISTENTE VIRTUAL INTELIGENTE CON RED NEURONAL LOCAL Y ARQUITECTURA HÍBRIDA PARA LA OPTIMIZACIÓN DEL SERVICIO DE ORIENTACIÓN ACADÉMICA Y TRÁMITES TUPA EN EL I.E.S.T.P. ‘HERMANOS CÁRCAMO’ DE PAITA, 2026"</w:t>
            </w:r>
          </w:p>
        </w:tc>
      </w:tr>
    </w:tbl>
    <w:p>
      <w:pPr>
        <w:spacing w:before="40" w:after="80"/>
      </w:pPr>
    </w:p>
    <w:p>
      <w:pPr>
        <w:spacing w:after="120" w:line="300" w:lineRule="auto"/>
        <w:jc w:val="both"/>
      </w:pPr>
      <w:r>
        <w:rPr>
          <w:rFonts w:ascii="Arial" w:hAnsi="Arial"/>
          <w:i w:val="0"/>
          <w:color w:val="1E293B"/>
          <w:sz w:val="21"/>
        </w:rPr>
        <w:t>Este proyecto nace directamente de la observación cotidiana de nuestra realidad institucional. Como estudiante que ha recorrido las aulas, laboratorios y pasillos de nuestro instituto durante tres años, he sido testigo de las dificultades que atraviesan cientos de jóvenes postulantes y compañeros que viajan desde zonas alejadas de la provincia para solicitar información básica en ventanilla. Ante esa necesidad real, nació la determinación de aplicar las competencias adquiridas en desarrollo web, inteligencia artificial y arquitectura de plataformas para construir una herramienta propia, útil, gratuita y permanente para el instituto.</w:t>
      </w:r>
    </w:p>
    <w:p>
      <w:r>
        <w:br w:type="page"/>
      </w:r>
    </w:p>
    <w:p>
      <w:pPr>
        <w:keepNext/>
        <w:spacing w:before="360" w:after="120"/>
      </w:pPr>
      <w:r>
        <w:rPr>
          <w:rFonts w:ascii="Arial" w:hAnsi="Arial"/>
          <w:b/>
          <w:color w:val="13357B"/>
          <w:sz w:val="28"/>
        </w:rPr>
        <w:t>CAPÍTULO I: DIAGNÓSTICO Y REALIDAD PROBLEMÁTICA</w:t>
      </w:r>
    </w:p>
    <w:p>
      <w:pPr>
        <w:keepNext/>
        <w:spacing w:before="260" w:after="80"/>
      </w:pPr>
      <w:r>
        <w:rPr>
          <w:rFonts w:ascii="Arial" w:hAnsi="Arial"/>
          <w:b/>
          <w:color w:val="2563EB"/>
          <w:sz w:val="24"/>
        </w:rPr>
        <w:t>1.1. Contexto Geográfico, Social y Tecnológico de la Provincia de Paita</w:t>
      </w:r>
    </w:p>
    <w:p>
      <w:pPr>
        <w:spacing w:after="120" w:line="300" w:lineRule="auto"/>
        <w:jc w:val="both"/>
      </w:pPr>
      <w:r>
        <w:rPr>
          <w:rFonts w:ascii="Arial" w:hAnsi="Arial"/>
          <w:i w:val="0"/>
          <w:color w:val="1E293B"/>
          <w:sz w:val="21"/>
        </w:rPr>
        <w:t>La provincia de Paita, ubicada en el departamento de Piura, constituye el principal puerto marítimo y comercial del norte peruano, destacándose por su actividad pesquera industrial y artesanal, agroexportación y terminales logísticos. Su población juvenil se distribuye entre Paita Baja, Paita Alta, Ciudad del Pescador, y centros poblados o caletas como Yacila, La Islilla, La Tortuga, Colán, Miramar, Vichayal y La Huaca.</w:t>
      </w:r>
    </w:p>
    <w:p>
      <w:pPr>
        <w:spacing w:after="120" w:line="300" w:lineRule="auto"/>
        <w:jc w:val="both"/>
      </w:pPr>
      <w:r>
        <w:rPr>
          <w:rFonts w:ascii="Arial" w:hAnsi="Arial"/>
          <w:i w:val="0"/>
          <w:color w:val="1E293B"/>
          <w:sz w:val="21"/>
        </w:rPr>
        <w:t>En este entorno, el I.E.S.T.P. "Hermanos Cárcamo" se erige como la institución pública líder en formación técnica superior, brindando oportunidades formativas a jóvenes de recursos económicos limitados. Sin embargo, la dispersión geográfica provincial genera que un gran porcentaje de estudiantes deba invertir entre 30 a 90 minutos de viaje y gastos significativos en pasajes para acudir a la sede institucional.</w:t>
      </w:r>
    </w:p>
    <w:p>
      <w:pPr>
        <w:keepNext/>
        <w:spacing w:before="260" w:after="80"/>
      </w:pPr>
      <w:r>
        <w:rPr>
          <w:rFonts w:ascii="Arial" w:hAnsi="Arial"/>
          <w:b/>
          <w:color w:val="2563EB"/>
          <w:sz w:val="24"/>
        </w:rPr>
        <w:t>1.2. Planteamiento de la Problemática Institucional</w:t>
      </w:r>
    </w:p>
    <w:p>
      <w:pPr>
        <w:spacing w:after="120" w:line="300" w:lineRule="auto"/>
        <w:jc w:val="both"/>
      </w:pPr>
      <w:r>
        <w:rPr>
          <w:rFonts w:ascii="Arial" w:hAnsi="Arial"/>
          <w:i w:val="0"/>
          <w:color w:val="1E293B"/>
          <w:sz w:val="21"/>
        </w:rPr>
        <w:t>A través del diagnóstico de campo realizado en el área de Secretaría Académica y Mesa de Partes, se identificaron cuatro nudos críticos:</w:t>
      </w:r>
    </w:p>
    <w:p>
      <w:pPr>
        <w:pStyle w:val="ListBullet"/>
        <w:spacing w:after="60" w:line="288" w:lineRule="auto"/>
        <w:jc w:val="both"/>
      </w:pPr>
      <w:r>
        <w:rPr>
          <w:rFonts w:ascii="Arial" w:hAnsi="Arial"/>
          <w:b/>
          <w:color w:val="13357B"/>
          <w:sz w:val="21"/>
        </w:rPr>
        <w:t xml:space="preserve">a) Saturación y Colapso de Ventanillas en Periodos Clave: </w:t>
      </w:r>
      <w:r>
        <w:rPr>
          <w:rFonts w:ascii="Arial" w:hAnsi="Arial"/>
          <w:color w:val="1E293B"/>
          <w:sz w:val="21"/>
        </w:rPr>
        <w:t>Durante los meses de admisión (febrero-marzo) y matrículas semestrales (agosto-septiembre), la ventanilla única de Secretaría Académica recibe entre 120 y 200 personas al día. El 75% de las consultas son repetitivas: fechas de examen, temarios, documentos para matrícula y costos de tasas administrativas, lo que genera largas colas bajo el sol y sobrecarga laboral al personal administrativo.</w:t>
      </w:r>
    </w:p>
    <w:p>
      <w:pPr>
        <w:pStyle w:val="ListBullet"/>
        <w:spacing w:after="60" w:line="288" w:lineRule="auto"/>
        <w:jc w:val="both"/>
      </w:pPr>
      <w:r>
        <w:rPr>
          <w:rFonts w:ascii="Arial" w:hAnsi="Arial"/>
          <w:b/>
          <w:color w:val="13357B"/>
          <w:sz w:val="21"/>
        </w:rPr>
        <w:t xml:space="preserve">b) Desinformación y Falsa Creencia de Cobro de Pensiones: </w:t>
      </w:r>
      <w:r>
        <w:rPr>
          <w:rFonts w:ascii="Arial" w:hAnsi="Arial"/>
          <w:color w:val="1E293B"/>
          <w:sz w:val="21"/>
        </w:rPr>
        <w:t>Existe en gran parte de los egresados de secundaria de Paita la creencia errónea de que el instituto cobra mensualidades privadas elevadas (S/ 300 o S/ 500 al mes). Muchos jóvenes desisten de postular por falta de recursos familiares, ignorando que el I.E.S.T.P. Hermanos Cárcamo es 100% público y gratuito, y que solo se cancela una tasa administrativa semestral mínima estipulada en el TUPA institucional.</w:t>
      </w:r>
    </w:p>
    <w:p>
      <w:pPr>
        <w:pStyle w:val="ListBullet"/>
        <w:spacing w:after="60" w:line="288" w:lineRule="auto"/>
        <w:jc w:val="both"/>
      </w:pPr>
      <w:r>
        <w:rPr>
          <w:rFonts w:ascii="Arial" w:hAnsi="Arial"/>
          <w:b/>
          <w:color w:val="13357B"/>
          <w:sz w:val="21"/>
        </w:rPr>
        <w:t xml:space="preserve">c) Horarios de Atención Limitados vs. Estudiantes Trabajadores: </w:t>
      </w:r>
      <w:r>
        <w:rPr>
          <w:rFonts w:ascii="Arial" w:hAnsi="Arial"/>
          <w:color w:val="1E293B"/>
          <w:sz w:val="21"/>
        </w:rPr>
        <w:t>El horario de atención presencial de secretaría concluye a las 3:00 PM. No obstante, una gran proporción de postulantes y alumnos labora en plantas procesadoras de pota o comercios locales durante la mañana, quedando sin ninguna vía para informarse en turnos de tarde, noche o fines de semana.</w:t>
      </w:r>
    </w:p>
    <w:p>
      <w:pPr>
        <w:pStyle w:val="ListBullet"/>
        <w:spacing w:after="60" w:line="288" w:lineRule="auto"/>
        <w:jc w:val="both"/>
      </w:pPr>
      <w:r>
        <w:rPr>
          <w:rFonts w:ascii="Arial" w:hAnsi="Arial"/>
          <w:b/>
          <w:color w:val="13357B"/>
          <w:sz w:val="21"/>
        </w:rPr>
        <w:t xml:space="preserve">d) Fricción y Errores en el Registro de Vouchers del Banco de la Nación: </w:t>
      </w:r>
      <w:r>
        <w:rPr>
          <w:rFonts w:ascii="Arial" w:hAnsi="Arial"/>
          <w:color w:val="1E293B"/>
          <w:sz w:val="21"/>
        </w:rPr>
        <w:t>El proceso de validar pagos de matrícula requiere ingresar datos del voucher en el portal web de pagos. Los ingresantes cometen constantes errores al confundir el Número de Operación con el Código de Agencia o la Secuencia, provocando demoras en la emisión de sus boletas electrónicas.</w:t>
      </w:r>
    </w:p>
    <w:p>
      <w:pPr>
        <w:keepNext/>
        <w:spacing w:before="260" w:after="80"/>
      </w:pPr>
      <w:r>
        <w:rPr>
          <w:rFonts w:ascii="Arial" w:hAnsi="Arial"/>
          <w:b/>
          <w:color w:val="2563EB"/>
          <w:sz w:val="24"/>
        </w:rPr>
        <w:t>1.3. Objetivos del Proyecto</w:t>
      </w:r>
    </w:p>
    <w:p>
      <w:pPr>
        <w:keepNext/>
        <w:spacing w:before="180" w:after="60"/>
      </w:pPr>
      <w:r>
        <w:rPr>
          <w:rFonts w:ascii="Arial" w:hAnsi="Arial"/>
          <w:b/>
          <w:color w:val="1E293B"/>
          <w:sz w:val="22"/>
        </w:rPr>
        <w:t>1.3.1. Objetivo General</w:t>
      </w:r>
    </w:p>
    <w:p>
      <w:pPr>
        <w:spacing w:after="120" w:line="300" w:lineRule="auto"/>
        <w:jc w:val="both"/>
      </w:pPr>
      <w:r>
        <w:rPr>
          <w:rFonts w:ascii="Arial" w:hAnsi="Arial"/>
          <w:i w:val="0"/>
          <w:color w:val="1E293B"/>
          <w:sz w:val="21"/>
        </w:rPr>
        <w:t>Desarrollar e implementar un sistema asistente virtual inteligente (HercarIA) con arquitectura híbrida y Red Neuronal Artificial local que optimice la orientación estudiantil, automatice el cálculo de tasas TUPA y brinde asistencia ininterrumpida las 24 horas del día a la comunidad del I.E.S.T.P. "Hermanos Cárcamo" de Paita.</w:t>
      </w:r>
    </w:p>
    <w:p>
      <w:pPr>
        <w:keepNext/>
        <w:spacing w:before="180" w:after="60"/>
      </w:pPr>
      <w:r>
        <w:rPr>
          <w:rFonts w:ascii="Arial" w:hAnsi="Arial"/>
          <w:b/>
          <w:color w:val="1E293B"/>
          <w:sz w:val="22"/>
        </w:rPr>
        <w:t>1.3.2. Objetivos Específicos</w:t>
      </w:r>
    </w:p>
    <w:p>
      <w:pPr>
        <w:pStyle w:val="ListBullet"/>
        <w:spacing w:after="60" w:line="288" w:lineRule="auto"/>
        <w:jc w:val="both"/>
      </w:pPr>
      <w:r>
        <w:rPr>
          <w:rFonts w:ascii="Arial" w:hAnsi="Arial"/>
          <w:b/>
          <w:color w:val="13357B"/>
          <w:sz w:val="21"/>
        </w:rPr>
        <w:t xml:space="preserve">1. </w:t>
      </w:r>
      <w:r>
        <w:rPr>
          <w:rFonts w:ascii="Arial" w:hAnsi="Arial"/>
          <w:color w:val="1E293B"/>
          <w:sz w:val="21"/>
        </w:rPr>
        <w:t>Diseñar una Red Neuronal Artificial Perceptrón Multicapa (MLP) ejecutada 100% en el navegador web del usuario, que garantice respuestas inmediatas con latencia inferior a 20 ms sin costo de servidores ni suscripciones externas.</w:t>
      </w:r>
    </w:p>
    <w:p>
      <w:pPr>
        <w:pStyle w:val="ListBullet"/>
        <w:spacing w:after="60" w:line="288" w:lineRule="auto"/>
        <w:jc w:val="both"/>
      </w:pPr>
      <w:r>
        <w:rPr>
          <w:rFonts w:ascii="Arial" w:hAnsi="Arial"/>
          <w:b/>
          <w:color w:val="13357B"/>
          <w:sz w:val="21"/>
        </w:rPr>
        <w:t xml:space="preserve">2. </w:t>
      </w:r>
      <w:r>
        <w:rPr>
          <w:rFonts w:ascii="Arial" w:hAnsi="Arial"/>
          <w:color w:val="1E293B"/>
          <w:sz w:val="21"/>
        </w:rPr>
        <w:t>Implementar un Centro de Herramientas Flotantes (Hub APSTI) que integre un Simulador TUPA para el Banco de la Nación, un Mapa Interactivo del Campus y un Test de Orientación Vocacional para las 4 carreras técnicas.</w:t>
      </w:r>
    </w:p>
    <w:p>
      <w:pPr>
        <w:pStyle w:val="ListBullet"/>
        <w:spacing w:after="60" w:line="288" w:lineRule="auto"/>
        <w:jc w:val="both"/>
      </w:pPr>
      <w:r>
        <w:rPr>
          <w:rFonts w:ascii="Arial" w:hAnsi="Arial"/>
          <w:b/>
          <w:color w:val="13357B"/>
          <w:sz w:val="21"/>
        </w:rPr>
        <w:t xml:space="preserve">3. </w:t>
      </w:r>
      <w:r>
        <w:rPr>
          <w:rFonts w:ascii="Arial" w:hAnsi="Arial"/>
          <w:color w:val="1E293B"/>
          <w:sz w:val="21"/>
        </w:rPr>
        <w:t>Desarrollar un sistema de diálogos flotantes ergonómicos y accesibles, eliminando por completo las ventanas emergentes nativas del navegador (confirm y alert) para brindar una experiencia de usuario limpia, moderna y profesional.</w:t>
      </w:r>
    </w:p>
    <w:p>
      <w:pPr>
        <w:pStyle w:val="ListBullet"/>
        <w:spacing w:after="60" w:line="288" w:lineRule="auto"/>
        <w:jc w:val="both"/>
      </w:pPr>
      <w:r>
        <w:rPr>
          <w:rFonts w:ascii="Arial" w:hAnsi="Arial"/>
          <w:b/>
          <w:color w:val="13357B"/>
          <w:sz w:val="21"/>
        </w:rPr>
        <w:t xml:space="preserve">4. </w:t>
      </w:r>
      <w:r>
        <w:rPr>
          <w:rFonts w:ascii="Arial" w:hAnsi="Arial"/>
          <w:color w:val="1E293B"/>
          <w:sz w:val="21"/>
        </w:rPr>
        <w:t>Construir un Panel de Administración dedicado (admin.html) con soporte multi-API (Gemini, OpenAI, Groq), auditoría forense de consultas y bandeja de entrenamiento para que el personal del instituto actualice la base de conocimiento sin requerir programación.</w:t>
      </w:r>
    </w:p>
    <w:p>
      <w:pPr>
        <w:pStyle w:val="ListBullet"/>
        <w:spacing w:after="60" w:line="288" w:lineRule="auto"/>
        <w:jc w:val="both"/>
      </w:pPr>
      <w:r>
        <w:rPr>
          <w:rFonts w:ascii="Arial" w:hAnsi="Arial"/>
          <w:b/>
          <w:color w:val="13357B"/>
          <w:sz w:val="21"/>
        </w:rPr>
        <w:t xml:space="preserve">5. </w:t>
      </w:r>
      <w:r>
        <w:rPr>
          <w:rFonts w:ascii="Arial" w:hAnsi="Arial"/>
          <w:color w:val="1E293B"/>
          <w:sz w:val="21"/>
        </w:rPr>
        <w:t>Validar el impacto y la tasa de satisfacción del sistema mediante pruebas de campo con estudiantes y postulantes reales de la provincia de Paita.</w:t>
      </w:r>
    </w:p>
    <w:p>
      <w:pPr>
        <w:keepNext/>
        <w:spacing w:before="360" w:after="120"/>
      </w:pPr>
      <w:r>
        <w:rPr>
          <w:rFonts w:ascii="Arial" w:hAnsi="Arial"/>
          <w:b/>
          <w:color w:val="13357B"/>
          <w:sz w:val="28"/>
        </w:rPr>
        <w:t>CAPÍTULO II: FUNDAMENTACIÓN TÉCNICA Y PEDAGÓGICA</w:t>
      </w:r>
    </w:p>
    <w:p>
      <w:pPr>
        <w:keepNext/>
        <w:spacing w:before="260" w:after="80"/>
      </w:pPr>
      <w:r>
        <w:rPr>
          <w:rFonts w:ascii="Arial" w:hAnsi="Arial"/>
          <w:b/>
          <w:color w:val="2563EB"/>
          <w:sz w:val="24"/>
        </w:rPr>
        <w:t>2.1. ¿Por qué una Red Neuronal Local en lugar de depender únicamente de la Nube?</w:t>
      </w:r>
    </w:p>
    <w:p>
      <w:pPr>
        <w:spacing w:after="120" w:line="300" w:lineRule="auto"/>
        <w:jc w:val="both"/>
      </w:pPr>
      <w:r>
        <w:rPr>
          <w:rFonts w:ascii="Arial" w:hAnsi="Arial"/>
          <w:i w:val="0"/>
          <w:color w:val="1E293B"/>
          <w:sz w:val="21"/>
        </w:rPr>
        <w:t>Al plantear este proyecto en la carrera de APSTI, surgió un dilema de ingeniería crucial: ¿Por qué no usar simplemente una API comercial como ChatGPT y terminar el proyecto en pocos días? La respuesta responde a una visión de responsabilidad y sostenibilidad: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36" w:space="0" w:color="B45309"/>
              <w:top w:val="none"/>
              <w:bottom w:val="none"/>
              <w:right w:val="none"/>
            </w:tcBorders>
          </w:tcPr>
          <w:p>
            <w:pPr>
              <w:spacing w:after="80" w:line="288" w:lineRule="auto"/>
            </w:pPr>
            <w:r>
              <w:rPr>
                <w:rFonts w:ascii="Arial" w:hAnsi="Arial"/>
                <w:b/>
                <w:color w:val="13357B"/>
                <w:sz w:val="21"/>
              </w:rPr>
              <w:t>El Reto de la Sostenibilidad Económica en la Educación Pública:</w:t>
              <w:br/>
            </w:r>
            <w:r>
              <w:rPr>
                <w:rFonts w:ascii="Arial" w:hAnsi="Arial"/>
                <w:i/>
                <w:color w:val="1E293B"/>
                <w:sz w:val="20"/>
              </w:rPr>
              <w:t>Un instituto tecnológico público como el I.E.S.T.P. "Hermanos Cárcamo" no cuenta con presupuesto asignado para pagar facturas de $100 o $200 dólares al mes en consumo de tokens a empresas extranjeras como OpenAI o Google. Si el proyecto dependía exclusivamente de una API de pago, al agotarse el saldo de prueba el chatbot dejaría de funcionar para siempre. Por ello, asumimos el reto de programar desde cero una Red Neuronal Artificial capaz de aprender y razonar dentro del navegador del propio estudiante, consumiendo S/ 0.00 en servidores y funcionando incluso sin conexión a internet.</w:t>
            </w:r>
          </w:p>
        </w:tc>
      </w:tr>
    </w:tbl>
    <w:p>
      <w:pPr>
        <w:spacing w:before="40" w:after="80"/>
      </w:pPr>
    </w:p>
    <w:p>
      <w:pPr>
        <w:keepNext/>
        <w:spacing w:before="260" w:after="80"/>
      </w:pPr>
      <w:r>
        <w:rPr>
          <w:rFonts w:ascii="Arial" w:hAnsi="Arial"/>
          <w:b/>
          <w:color w:val="2563EB"/>
          <w:sz w:val="24"/>
        </w:rPr>
        <w:t>2.2. Funcionamiento Explicado Paso a Paso de la Red Neuronal APSTI</w:t>
      </w:r>
    </w:p>
    <w:p>
      <w:pPr>
        <w:spacing w:after="120" w:line="300" w:lineRule="auto"/>
        <w:jc w:val="both"/>
      </w:pPr>
      <w:r>
        <w:rPr>
          <w:rFonts w:ascii="Arial" w:hAnsi="Arial"/>
          <w:i w:val="0"/>
          <w:color w:val="1E293B"/>
          <w:sz w:val="21"/>
        </w:rPr>
        <w:t>Para que cualquier evaluador docente o estudiante comprenda el funcionamiento del Perceptrón Multicapa sin enredarse en tecnicismos vacíos, el proceso matemático se resume en cuatro etapas secuenciales:</w:t>
      </w:r>
    </w:p>
    <w:p>
      <w:pPr>
        <w:pStyle w:val="ListBullet"/>
        <w:spacing w:after="60" w:line="288" w:lineRule="auto"/>
        <w:jc w:val="both"/>
      </w:pPr>
      <w:r>
        <w:rPr>
          <w:rFonts w:ascii="Arial" w:hAnsi="Arial"/>
          <w:b/>
          <w:color w:val="13357B"/>
          <w:sz w:val="21"/>
        </w:rPr>
        <w:t xml:space="preserve">1. Vectorización (Bag-of-Words y TF-IDF): </w:t>
      </w:r>
      <w:r>
        <w:rPr>
          <w:rFonts w:ascii="Arial" w:hAnsi="Arial"/>
          <w:color w:val="1E293B"/>
          <w:sz w:val="21"/>
        </w:rPr>
        <w:t>Cuando el usuario escribe "¿Cuánto debo pagar en el Banco de la Nación para matricularme?", el sistema limpia los signos de puntuación, convierte a minúsculas y descompone la frase en tokens clave: ["cuanto", "pagar", "banco", "nacion", "matricularme"]. Este vector se compara con nuestro vocabulario institucional de 260 términos, activando los nodos de entrada correspondientes.</w:t>
      </w:r>
    </w:p>
    <w:p>
      <w:pPr>
        <w:pStyle w:val="ListBullet"/>
        <w:spacing w:after="60" w:line="288" w:lineRule="auto"/>
        <w:jc w:val="both"/>
      </w:pPr>
      <w:r>
        <w:rPr>
          <w:rFonts w:ascii="Arial" w:hAnsi="Arial"/>
          <w:b/>
          <w:color w:val="13357B"/>
          <w:sz w:val="21"/>
        </w:rPr>
        <w:t xml:space="preserve">2. Primera Capa Oculta (36 Neuronas con LeakyReLU): </w:t>
      </w:r>
      <w:r>
        <w:rPr>
          <w:rFonts w:ascii="Arial" w:hAnsi="Arial"/>
          <w:color w:val="1E293B"/>
          <w:sz w:val="21"/>
        </w:rPr>
        <w:t>Las neuronas de esta capa multiplican las palabras activadas por pesos matemáticos que han sido entrenados para identificar conceptos vinculados (por ejemplo, que "plata", "costo", "arancel" y "tasa" significan lo mismo en el contexto del TUPA). La función LeakyReLU permite que incluso palabras poco frecuentes transmitan un gradiente sutil sin que la neurona se apague.</w:t>
      </w:r>
    </w:p>
    <w:p>
      <w:pPr>
        <w:pStyle w:val="ListBullet"/>
        <w:spacing w:after="60" w:line="288" w:lineRule="auto"/>
        <w:jc w:val="both"/>
      </w:pPr>
      <w:r>
        <w:rPr>
          <w:rFonts w:ascii="Arial" w:hAnsi="Arial"/>
          <w:b/>
          <w:color w:val="13357B"/>
          <w:sz w:val="21"/>
        </w:rPr>
        <w:t xml:space="preserve">3. Segunda Capa Oculta (18 Neuronas con Tanh): </w:t>
      </w:r>
      <w:r>
        <w:rPr>
          <w:rFonts w:ascii="Arial" w:hAnsi="Arial"/>
          <w:color w:val="1E293B"/>
          <w:sz w:val="21"/>
        </w:rPr>
        <w:t>Esta capa abstrae el significado global de la oración, evaluando el contexto para determinar si el usuario es un ingresante nuevo (cachimbo) o un alumno regular de ciclos superiores, acotando los valores entre -1 y +1 mediante la tangente hiperbólica.</w:t>
      </w:r>
    </w:p>
    <w:p>
      <w:pPr>
        <w:pStyle w:val="ListBullet"/>
        <w:spacing w:after="60" w:line="288" w:lineRule="auto"/>
        <w:jc w:val="both"/>
      </w:pPr>
      <w:r>
        <w:rPr>
          <w:rFonts w:ascii="Arial" w:hAnsi="Arial"/>
          <w:b/>
          <w:color w:val="13357B"/>
          <w:sz w:val="21"/>
        </w:rPr>
        <w:t xml:space="preserve">4. Capa de Salida (34 Clases de Intención con Softmax): </w:t>
      </w:r>
      <w:r>
        <w:rPr>
          <w:rFonts w:ascii="Arial" w:hAnsi="Arial"/>
          <w:color w:val="1E293B"/>
          <w:sz w:val="21"/>
        </w:rPr>
        <w:t>Finalmente, la función Softmax convierte los puntajes de las neuronas de salida en porcentajes exactos que suman 100%. Por ejemplo: Intención "costos_matricula_regular": 94.2%, Intención "admision_general": 3.1%, Otras: 2.7%. El sistema selecciona la opción predominante y genera la respuesta oficial correspondiente en menos de 10 milisegundos.</w:t>
      </w:r>
    </w:p>
    <w:p>
      <w:pPr>
        <w:keepNext/>
        <w:spacing w:before="260" w:after="80"/>
      </w:pPr>
      <w:r>
        <w:rPr>
          <w:rFonts w:ascii="Arial" w:hAnsi="Arial"/>
          <w:b/>
          <w:color w:val="2563EB"/>
          <w:sz w:val="24"/>
        </w:rPr>
        <w:t>2.3. Arquitectura Híbrida Inteligente con Resiliencia</w:t>
      </w:r>
    </w:p>
    <w:p>
      <w:pPr>
        <w:spacing w:after="120" w:line="300" w:lineRule="auto"/>
        <w:jc w:val="both"/>
      </w:pPr>
      <w:r>
        <w:rPr>
          <w:rFonts w:ascii="Arial" w:hAnsi="Arial"/>
          <w:i w:val="0"/>
          <w:color w:val="1E293B"/>
          <w:sz w:val="21"/>
        </w:rPr>
        <w:t>HercarIA no rechaza los modelos de lenguaje modernos; al contrario, los aprovecha de forma inteligente mediante una arquitectura híbrida de doble vía:</w:t>
      </w:r>
    </w:p>
    <w:p>
      <w:pPr>
        <w:pStyle w:val="ListBullet"/>
        <w:spacing w:after="60" w:line="288" w:lineRule="auto"/>
        <w:jc w:val="both"/>
      </w:pPr>
      <w:r>
        <w:rPr>
          <w:rFonts w:ascii="Arial" w:hAnsi="Arial"/>
          <w:b/>
          <w:color w:val="13357B"/>
          <w:sz w:val="21"/>
        </w:rPr>
        <w:t xml:space="preserve">Vía Primaria (Red Neuronal Local APSTI): </w:t>
      </w:r>
      <w:r>
        <w:rPr>
          <w:rFonts w:ascii="Arial" w:hAnsi="Arial"/>
          <w:color w:val="1E293B"/>
          <w:sz w:val="21"/>
        </w:rPr>
        <w:t>Resuelve al instante todas las preguntas institucionales sobre el instituto, horarios, carreras, trámites, mallas y Banco de la Nación sin tocar ningún servidor externo. Rapidez absoluta y privacidad total.</w:t>
      </w:r>
    </w:p>
    <w:p>
      <w:pPr>
        <w:pStyle w:val="ListBullet"/>
        <w:spacing w:after="60" w:line="288" w:lineRule="auto"/>
        <w:jc w:val="both"/>
      </w:pPr>
      <w:r>
        <w:rPr>
          <w:rFonts w:ascii="Arial" w:hAnsi="Arial"/>
          <w:b/>
          <w:color w:val="13357B"/>
          <w:sz w:val="21"/>
        </w:rPr>
        <w:t xml:space="preserve">Vía Secundaria Opcional (Modelos Cloud Multi-API): </w:t>
      </w:r>
      <w:r>
        <w:rPr>
          <w:rFonts w:ascii="Arial" w:hAnsi="Arial"/>
          <w:color w:val="1E293B"/>
          <w:sz w:val="21"/>
        </w:rPr>
        <w:t>Si en el Panel Admin se configura una clave de Google Gemini, OpenAI o Groq, el bot la utiliza para razonamiento abstracto y preguntas libres complejas. Si la conexión a internet falla o la cuota se agota, el sistema conmuta automáticamente a la Red Neuronal Local sin que el alumno note corte alguno.</w:t>
      </w:r>
    </w:p>
    <w:p>
      <w:pPr>
        <w:keepNext/>
        <w:spacing w:before="360" w:after="120"/>
      </w:pPr>
      <w:r>
        <w:rPr>
          <w:rFonts w:ascii="Arial" w:hAnsi="Arial"/>
          <w:b/>
          <w:color w:val="13357B"/>
          <w:sz w:val="28"/>
        </w:rPr>
        <w:t>CAPÍTULO III: DESARROLLO DE LA PLATAFORMA E INGENIERÍA DE SOFTWARE</w:t>
      </w:r>
    </w:p>
    <w:p>
      <w:pPr>
        <w:keepNext/>
        <w:spacing w:before="260" w:after="80"/>
      </w:pPr>
      <w:r>
        <w:rPr>
          <w:rFonts w:ascii="Arial" w:hAnsi="Arial"/>
          <w:b/>
          <w:color w:val="2563EB"/>
          <w:sz w:val="24"/>
        </w:rPr>
        <w:t>3.1. Metodología de Desarrollo Ágil (Scrum Adaptado)</w:t>
      </w:r>
    </w:p>
    <w:p>
      <w:pPr>
        <w:spacing w:after="120" w:line="300" w:lineRule="auto"/>
        <w:jc w:val="both"/>
      </w:pPr>
      <w:r>
        <w:rPr>
          <w:rFonts w:ascii="Arial" w:hAnsi="Arial"/>
          <w:i w:val="0"/>
          <w:color w:val="1E293B"/>
          <w:sz w:val="21"/>
        </w:rPr>
        <w:t>El desarrollo del proyecto se ejecutó siguiendo las mejores prácticas de la metodología ágil Scrum, organizada en cuatro Sprints de 15 días cada uno:</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3357B"/>
            <w:tcMar>
              <w:top w:w="130" w:type="dxa"/>
              <w:bottom w:w="130" w:type="dxa"/>
              <w:left w:w="150" w:type="dxa"/>
              <w:right w:w="150" w:type="dxa"/>
            </w:tcMar>
          </w:tcPr>
          <w:p>
            <w:r>
              <w:rPr>
                <w:b/>
                <w:color w:val="FFFFFF"/>
              </w:rPr>
              <w:t>Sprint</w:t>
            </w:r>
          </w:p>
        </w:tc>
        <w:tc>
          <w:tcPr>
            <w:tcW w:type="dxa" w:w="2340"/>
            <w:shd w:fill="13357B"/>
            <w:tcMar>
              <w:top w:w="130" w:type="dxa"/>
              <w:bottom w:w="130" w:type="dxa"/>
              <w:left w:w="150" w:type="dxa"/>
              <w:right w:w="150" w:type="dxa"/>
            </w:tcMar>
          </w:tcPr>
          <w:p>
            <w:r>
              <w:rPr>
                <w:b/>
                <w:color w:val="FFFFFF"/>
              </w:rPr>
              <w:t>Fase de Trabajo</w:t>
            </w:r>
          </w:p>
        </w:tc>
        <w:tc>
          <w:tcPr>
            <w:tcW w:type="dxa" w:w="2340"/>
            <w:shd w:fill="13357B"/>
            <w:tcMar>
              <w:top w:w="130" w:type="dxa"/>
              <w:bottom w:w="130" w:type="dxa"/>
              <w:left w:w="150" w:type="dxa"/>
              <w:right w:w="150" w:type="dxa"/>
            </w:tcMar>
          </w:tcPr>
          <w:p>
            <w:r>
              <w:rPr>
                <w:b/>
                <w:color w:val="FFFFFF"/>
              </w:rPr>
              <w:t>Entregables Principales</w:t>
            </w:r>
          </w:p>
        </w:tc>
        <w:tc>
          <w:tcPr>
            <w:tcW w:type="dxa" w:w="2340"/>
            <w:shd w:fill="13357B"/>
            <w:tcMar>
              <w:top w:w="130" w:type="dxa"/>
              <w:bottom w:w="130" w:type="dxa"/>
              <w:left w:w="150" w:type="dxa"/>
              <w:right w:w="150" w:type="dxa"/>
            </w:tcMar>
          </w:tcPr>
          <w:p>
            <w:r>
              <w:rPr>
                <w:b/>
                <w:color w:val="FFFFFF"/>
              </w:rPr>
              <w:t>Validación / Hito</w:t>
            </w:r>
          </w:p>
        </w:tc>
      </w:tr>
      <w:tr>
        <w:tc>
          <w:tcPr>
            <w:tcW w:type="dxa" w:w="2340"/>
            <w:tcMar>
              <w:top w:w="100" w:type="dxa"/>
              <w:bottom w:w="100" w:type="dxa"/>
              <w:left w:w="120" w:type="dxa"/>
              <w:right w:w="120" w:type="dxa"/>
            </w:tcMar>
          </w:tcPr>
          <w:p>
            <w:r>
              <w:rPr>
                <w:rFonts w:ascii="Arial" w:hAnsi="Arial"/>
                <w:sz w:val="19"/>
              </w:rPr>
              <w:t>Sprint 1 (Sem. 1-2)</w:t>
            </w:r>
          </w:p>
        </w:tc>
        <w:tc>
          <w:tcPr>
            <w:tcW w:type="dxa" w:w="2340"/>
            <w:tcMar>
              <w:top w:w="100" w:type="dxa"/>
              <w:bottom w:w="100" w:type="dxa"/>
              <w:left w:w="120" w:type="dxa"/>
              <w:right w:w="120" w:type="dxa"/>
            </w:tcMar>
          </w:tcPr>
          <w:p>
            <w:r>
              <w:rPr>
                <w:rFonts w:ascii="Arial" w:hAnsi="Arial"/>
                <w:sz w:val="19"/>
              </w:rPr>
              <w:t>Levantamiento de Requisitos y Base Institucional</w:t>
            </w:r>
          </w:p>
        </w:tc>
        <w:tc>
          <w:tcPr>
            <w:tcW w:type="dxa" w:w="2340"/>
            <w:tcMar>
              <w:top w:w="100" w:type="dxa"/>
              <w:bottom w:w="100" w:type="dxa"/>
              <w:left w:w="120" w:type="dxa"/>
              <w:right w:w="120" w:type="dxa"/>
            </w:tcMar>
          </w:tcPr>
          <w:p>
            <w:r>
              <w:rPr>
                <w:rFonts w:ascii="Arial" w:hAnsi="Arial"/>
                <w:sz w:val="19"/>
              </w:rPr>
              <w:t>Recopilación del TUPA 2026, mallas de las 4 carreras, preguntas de Secretaría y estructuración en JSON.</w:t>
            </w:r>
          </w:p>
        </w:tc>
        <w:tc>
          <w:tcPr>
            <w:tcW w:type="dxa" w:w="2340"/>
            <w:tcMar>
              <w:top w:w="100" w:type="dxa"/>
              <w:bottom w:w="100" w:type="dxa"/>
              <w:left w:w="120" w:type="dxa"/>
              <w:right w:w="120" w:type="dxa"/>
            </w:tcMar>
          </w:tcPr>
          <w:p>
            <w:r>
              <w:rPr>
                <w:rFonts w:ascii="Arial" w:hAnsi="Arial"/>
                <w:sz w:val="19"/>
              </w:rPr>
              <w:t>Aprobación del banco de 34 intenciones oficiales.</w:t>
            </w:r>
          </w:p>
        </w:tc>
      </w:tr>
      <w:tr>
        <w:tc>
          <w:tcPr>
            <w:tcW w:type="dxa" w:w="2340"/>
            <w:tcMar>
              <w:top w:w="100" w:type="dxa"/>
              <w:bottom w:w="100" w:type="dxa"/>
              <w:left w:w="120" w:type="dxa"/>
              <w:right w:w="120" w:type="dxa"/>
            </w:tcMar>
          </w:tcPr>
          <w:p>
            <w:r>
              <w:rPr>
                <w:rFonts w:ascii="Arial" w:hAnsi="Arial"/>
                <w:sz w:val="19"/>
              </w:rPr>
              <w:t>Sprint 2 (Sem. 3-4)</w:t>
            </w:r>
          </w:p>
        </w:tc>
        <w:tc>
          <w:tcPr>
            <w:tcW w:type="dxa" w:w="2340"/>
            <w:tcMar>
              <w:top w:w="100" w:type="dxa"/>
              <w:bottom w:w="100" w:type="dxa"/>
              <w:left w:w="120" w:type="dxa"/>
              <w:right w:w="120" w:type="dxa"/>
            </w:tcMar>
          </w:tcPr>
          <w:p>
            <w:r>
              <w:rPr>
                <w:rFonts w:ascii="Arial" w:hAnsi="Arial"/>
                <w:sz w:val="19"/>
              </w:rPr>
              <w:t>Arquitectura Neuronal y Entrenamiento Local</w:t>
            </w:r>
          </w:p>
        </w:tc>
        <w:tc>
          <w:tcPr>
            <w:tcW w:type="dxa" w:w="2340"/>
            <w:tcMar>
              <w:top w:w="100" w:type="dxa"/>
              <w:bottom w:w="100" w:type="dxa"/>
              <w:left w:w="120" w:type="dxa"/>
              <w:right w:w="120" w:type="dxa"/>
            </w:tcMar>
          </w:tcPr>
          <w:p>
            <w:r>
              <w:rPr>
                <w:rFonts w:ascii="Arial" w:hAnsi="Arial"/>
                <w:sz w:val="19"/>
              </w:rPr>
              <w:t>Desarrollo del Perceptrón Multicapa en Vanilla JS, funciones de activación, vectorizador TF-IDF y Backpropagation.</w:t>
            </w:r>
          </w:p>
        </w:tc>
        <w:tc>
          <w:tcPr>
            <w:tcW w:type="dxa" w:w="2340"/>
            <w:tcMar>
              <w:top w:w="100" w:type="dxa"/>
              <w:bottom w:w="100" w:type="dxa"/>
              <w:left w:w="120" w:type="dxa"/>
              <w:right w:w="120" w:type="dxa"/>
            </w:tcMar>
          </w:tcPr>
          <w:p>
            <w:r>
              <w:rPr>
                <w:rFonts w:ascii="Arial" w:hAnsi="Arial"/>
                <w:sz w:val="19"/>
              </w:rPr>
              <w:t>Convergencia del modelo en &lt;35 ms con dataset institucional.</w:t>
            </w:r>
          </w:p>
        </w:tc>
      </w:tr>
      <w:tr>
        <w:tc>
          <w:tcPr>
            <w:tcW w:type="dxa" w:w="2340"/>
            <w:tcMar>
              <w:top w:w="100" w:type="dxa"/>
              <w:bottom w:w="100" w:type="dxa"/>
              <w:left w:w="120" w:type="dxa"/>
              <w:right w:w="120" w:type="dxa"/>
            </w:tcMar>
          </w:tcPr>
          <w:p>
            <w:r>
              <w:rPr>
                <w:rFonts w:ascii="Arial" w:hAnsi="Arial"/>
                <w:sz w:val="19"/>
              </w:rPr>
              <w:t>Sprint 3 (Sem. 5-6)</w:t>
            </w:r>
          </w:p>
        </w:tc>
        <w:tc>
          <w:tcPr>
            <w:tcW w:type="dxa" w:w="2340"/>
            <w:tcMar>
              <w:top w:w="100" w:type="dxa"/>
              <w:bottom w:w="100" w:type="dxa"/>
              <w:left w:w="120" w:type="dxa"/>
              <w:right w:w="120" w:type="dxa"/>
            </w:tcMar>
          </w:tcPr>
          <w:p>
            <w:r>
              <w:rPr>
                <w:rFonts w:ascii="Arial" w:hAnsi="Arial"/>
                <w:sz w:val="19"/>
              </w:rPr>
              <w:t>Diseño UI/UX y Centro de Herramientas Flotantes</w:t>
            </w:r>
          </w:p>
        </w:tc>
        <w:tc>
          <w:tcPr>
            <w:tcW w:type="dxa" w:w="2340"/>
            <w:tcMar>
              <w:top w:w="100" w:type="dxa"/>
              <w:bottom w:w="100" w:type="dxa"/>
              <w:left w:w="120" w:type="dxa"/>
              <w:right w:w="120" w:type="dxa"/>
            </w:tcMar>
          </w:tcPr>
          <w:p>
            <w:r>
              <w:rPr>
                <w:rFonts w:ascii="Arial" w:hAnsi="Arial"/>
                <w:sz w:val="19"/>
              </w:rPr>
              <w:t>Creación del Hub flotante, Simulador TUPA, Mapa del campus, Test Vocacional y eliminación de popups nativos.</w:t>
            </w:r>
          </w:p>
        </w:tc>
        <w:tc>
          <w:tcPr>
            <w:tcW w:type="dxa" w:w="2340"/>
            <w:tcMar>
              <w:top w:w="100" w:type="dxa"/>
              <w:bottom w:w="100" w:type="dxa"/>
              <w:left w:w="120" w:type="dxa"/>
              <w:right w:w="120" w:type="dxa"/>
            </w:tcMar>
          </w:tcPr>
          <w:p>
            <w:r>
              <w:rPr>
                <w:rFonts w:ascii="Arial" w:hAnsi="Arial"/>
                <w:sz w:val="19"/>
              </w:rPr>
              <w:t>Aprobación del diseño responsive en móviles y tablets.</w:t>
            </w:r>
          </w:p>
        </w:tc>
      </w:tr>
      <w:tr>
        <w:tc>
          <w:tcPr>
            <w:tcW w:type="dxa" w:w="2340"/>
            <w:tcMar>
              <w:top w:w="100" w:type="dxa"/>
              <w:bottom w:w="100" w:type="dxa"/>
              <w:left w:w="120" w:type="dxa"/>
              <w:right w:w="120" w:type="dxa"/>
            </w:tcMar>
          </w:tcPr>
          <w:p>
            <w:r>
              <w:rPr>
                <w:rFonts w:ascii="Arial" w:hAnsi="Arial"/>
                <w:sz w:val="19"/>
              </w:rPr>
              <w:t>Sprint 4 (Sem. 7-8)</w:t>
            </w:r>
          </w:p>
        </w:tc>
        <w:tc>
          <w:tcPr>
            <w:tcW w:type="dxa" w:w="2340"/>
            <w:tcMar>
              <w:top w:w="100" w:type="dxa"/>
              <w:bottom w:w="100" w:type="dxa"/>
              <w:left w:w="120" w:type="dxa"/>
              <w:right w:w="120" w:type="dxa"/>
            </w:tcMar>
          </w:tcPr>
          <w:p>
            <w:r>
              <w:rPr>
                <w:rFonts w:ascii="Arial" w:hAnsi="Arial"/>
                <w:sz w:val="19"/>
              </w:rPr>
              <w:t>Panel Admin, Conexión Multi-API y Despliegue</w:t>
            </w:r>
          </w:p>
        </w:tc>
        <w:tc>
          <w:tcPr>
            <w:tcW w:type="dxa" w:w="2340"/>
            <w:tcMar>
              <w:top w:w="100" w:type="dxa"/>
              <w:bottom w:w="100" w:type="dxa"/>
              <w:left w:w="120" w:type="dxa"/>
              <w:right w:w="120" w:type="dxa"/>
            </w:tcMar>
          </w:tcPr>
          <w:p>
            <w:r>
              <w:rPr>
                <w:rFonts w:ascii="Arial" w:hAnsi="Arial"/>
                <w:sz w:val="19"/>
              </w:rPr>
              <w:t>Desarrollo de admin.html, integración con Gemini/OpenAI, microservicio backend y despliegue en GitHub Pages.</w:t>
            </w:r>
          </w:p>
        </w:tc>
        <w:tc>
          <w:tcPr>
            <w:tcW w:type="dxa" w:w="2340"/>
            <w:tcMar>
              <w:top w:w="100" w:type="dxa"/>
              <w:bottom w:w="100" w:type="dxa"/>
              <w:left w:w="120" w:type="dxa"/>
              <w:right w:w="120" w:type="dxa"/>
            </w:tcMar>
          </w:tcPr>
          <w:p>
            <w:r>
              <w:rPr>
                <w:rFonts w:ascii="Arial" w:hAnsi="Arial"/>
                <w:sz w:val="19"/>
              </w:rPr>
              <w:t>Pruebas de estrés y sustentación técnica.</w:t>
            </w:r>
          </w:p>
        </w:tc>
      </w:tr>
    </w:tbl>
    <w:p>
      <w:pPr>
        <w:keepNext/>
        <w:spacing w:before="260" w:after="80"/>
      </w:pPr>
      <w:r>
        <w:rPr>
          <w:rFonts w:ascii="Arial" w:hAnsi="Arial"/>
          <w:b/>
          <w:color w:val="2563EB"/>
          <w:sz w:val="24"/>
        </w:rPr>
        <w:t>3.2. Módulo 1: Chatbot Conversacional y Experiencia de Usuario Limpia</w:t>
      </w:r>
    </w:p>
    <w:p>
      <w:pPr>
        <w:spacing w:after="120" w:line="300" w:lineRule="auto"/>
        <w:jc w:val="both"/>
      </w:pPr>
      <w:r>
        <w:rPr>
          <w:rFonts w:ascii="Arial" w:hAnsi="Arial"/>
          <w:i w:val="0"/>
          <w:color w:val="1E293B"/>
          <w:sz w:val="21"/>
        </w:rPr>
        <w:t>Siguiendo las pautas de diseño moderno (inspiradas en interfaces profesionales como ChatGPT y Claude), se concibió un entorno libre de ruidos visuales:</w:t>
      </w:r>
    </w:p>
    <w:p>
      <w:pPr>
        <w:pStyle w:val="ListBullet"/>
        <w:spacing w:after="60" w:line="288" w:lineRule="auto"/>
        <w:jc w:val="both"/>
      </w:pPr>
      <w:r>
        <w:rPr>
          <w:rFonts w:ascii="Arial" w:hAnsi="Arial"/>
          <w:b/>
          <w:color w:val="13357B"/>
          <w:sz w:val="21"/>
        </w:rPr>
        <w:t xml:space="preserve">Tipografía e Identidad Visual: </w:t>
      </w:r>
      <w:r>
        <w:rPr>
          <w:rFonts w:ascii="Arial" w:hAnsi="Arial"/>
          <w:color w:val="1E293B"/>
          <w:sz w:val="21"/>
        </w:rPr>
        <w:t>Uso de las fuentes Google Plus Jakarta Sans y Outfit, con esquema de color institucional azul marino (#13357B), azul tecnológico (#2563EB) y acentos ámbar (#F59E0B).</w:t>
      </w:r>
    </w:p>
    <w:p>
      <w:pPr>
        <w:pStyle w:val="ListBullet"/>
        <w:spacing w:after="60" w:line="288" w:lineRule="auto"/>
        <w:jc w:val="both"/>
      </w:pPr>
      <w:r>
        <w:rPr>
          <w:rFonts w:ascii="Arial" w:hAnsi="Arial"/>
          <w:b/>
          <w:color w:val="13357B"/>
          <w:sz w:val="21"/>
        </w:rPr>
        <w:t xml:space="preserve">Renderizado Markdown Completo: </w:t>
      </w:r>
      <w:r>
        <w:rPr>
          <w:rFonts w:ascii="Arial" w:hAnsi="Arial"/>
          <w:color w:val="1E293B"/>
          <w:sz w:val="21"/>
        </w:rPr>
        <w:t>Capacidad de mostrar tablas formateadas, bloques de código con botón de copiar, listas numeradas y viñetas interactivas dentro de las respuestas.</w:t>
      </w:r>
    </w:p>
    <w:p>
      <w:pPr>
        <w:pStyle w:val="ListBullet"/>
        <w:spacing w:after="60" w:line="288" w:lineRule="auto"/>
        <w:jc w:val="both"/>
      </w:pPr>
      <w:r>
        <w:rPr>
          <w:rFonts w:ascii="Arial" w:hAnsi="Arial"/>
          <w:b/>
          <w:color w:val="13357B"/>
          <w:sz w:val="21"/>
        </w:rPr>
        <w:t xml:space="preserve">Chips de Continuidad Guiada: </w:t>
      </w:r>
      <w:r>
        <w:rPr>
          <w:rFonts w:ascii="Arial" w:hAnsi="Arial"/>
          <w:color w:val="1E293B"/>
          <w:sz w:val="21"/>
        </w:rPr>
        <w:t>Debajo de cada respuesta se despliegan sugerencias inteligentes para que el usuario continúe la conversación con un solo toque.</w:t>
      </w:r>
    </w:p>
    <w:p>
      <w:pPr>
        <w:keepNext/>
        <w:spacing w:before="260" w:after="80"/>
      </w:pPr>
      <w:r>
        <w:rPr>
          <w:rFonts w:ascii="Arial" w:hAnsi="Arial"/>
          <w:b/>
          <w:color w:val="2563EB"/>
          <w:sz w:val="24"/>
        </w:rPr>
        <w:t>3.3. Módulo 2: Centro de Herramientas APSTI y Datos Bancarios Oficiales</w:t>
      </w:r>
    </w:p>
    <w:p>
      <w:pPr>
        <w:spacing w:after="120" w:line="300" w:lineRule="auto"/>
        <w:jc w:val="both"/>
      </w:pPr>
      <w:r>
        <w:rPr>
          <w:rFonts w:ascii="Arial" w:hAnsi="Arial"/>
          <w:i w:val="0"/>
          <w:color w:val="1E293B"/>
          <w:sz w:val="21"/>
        </w:rPr>
        <w:t>Para garantizar una interfaz 100% despejada y sin botones invasivos que obstruyan el campo de escritura o las sugerencias, el Centro de Herramientas (#modal-tools-hub) se diseñó con acceso ergonómico desde la barra superior de navegación y el menú lateral, incorporando los módulos clave para postulantes y alumnos:</w:t>
      </w:r>
    </w:p>
    <w:p>
      <w:pPr>
        <w:pStyle w:val="ListBullet"/>
        <w:spacing w:after="60" w:line="288" w:lineRule="auto"/>
        <w:jc w:val="both"/>
      </w:pPr>
      <w:r>
        <w:rPr>
          <w:rFonts w:ascii="Arial" w:hAnsi="Arial"/>
          <w:b/>
          <w:color w:val="13357B"/>
          <w:sz w:val="21"/>
        </w:rPr>
        <w:t xml:space="preserve">🏦 Módulo de Cuentas Bancarias Oficiales (Banco de la Nación): </w:t>
      </w:r>
      <w:r>
        <w:rPr>
          <w:rFonts w:ascii="Arial" w:hAnsi="Arial"/>
          <w:color w:val="1E293B"/>
          <w:sz w:val="21"/>
        </w:rPr>
        <w:t>Integración de las credenciales de recaudo formal del instituto (Cuenta Corriente N° 00-631-018241, CCI N° 018-631-000631018241-73 y RUC 20197087091). HercarIA responde inmediatamente al comando "¿Pásame el número de cuenta?" con tarjetas interactivas dotadas de botones de copiado en un solo toque, enlaces directos a la plataforma de validación de comprobantes (pagos.ieshercar.edu.pe) y descarga de boletas electrónicas.</w:t>
      </w:r>
    </w:p>
    <w:p>
      <w:pPr>
        <w:pStyle w:val="ListBullet"/>
        <w:spacing w:after="60" w:line="288" w:lineRule="auto"/>
        <w:jc w:val="both"/>
      </w:pPr>
      <w:r>
        <w:rPr>
          <w:rFonts w:ascii="Arial" w:hAnsi="Arial"/>
          <w:b/>
          <w:color w:val="13357B"/>
          <w:sz w:val="21"/>
        </w:rPr>
        <w:t xml:space="preserve">📁 Aranceles TUPA de Carpeta Modular (S/ 25.00) e Inglés Técnico (S/ 400.00): </w:t>
      </w:r>
      <w:r>
        <w:rPr>
          <w:rFonts w:ascii="Arial" w:hAnsi="Arial"/>
          <w:color w:val="1E293B"/>
          <w:sz w:val="21"/>
        </w:rPr>
        <w:t>Documentación y codificación de las tasas más consultadas por los estudiantes: la Carpeta Modular Pedagógica (S/ 25.00, código CARP-25) exigida para la emisión de certificaciones modulares progresivas, y el Programa de Certificación de Suficiencia en Inglés Técnico (S/ 400.00, código ING-400), requisito legal obligatorio estipulado por la Ley N° 30512 del MINEDU para la obtención del Título Profesional Técnico a Nombre de la Nación.</w:t>
      </w:r>
    </w:p>
    <w:p>
      <w:pPr>
        <w:pStyle w:val="ListBullet"/>
        <w:spacing w:after="60" w:line="288" w:lineRule="auto"/>
        <w:jc w:val="both"/>
      </w:pPr>
      <w:r>
        <w:rPr>
          <w:rFonts w:ascii="Arial" w:hAnsi="Arial"/>
          <w:b/>
          <w:color w:val="13357B"/>
          <w:sz w:val="21"/>
        </w:rPr>
        <w:t xml:space="preserve">🧮 Simulador de Matrícula y Tasas TUPA 2026: </w:t>
      </w:r>
      <w:r>
        <w:rPr>
          <w:rFonts w:ascii="Arial" w:hAnsi="Arial"/>
          <w:color w:val="1E293B"/>
          <w:sz w:val="21"/>
        </w:rPr>
        <w:t>Calculadora interactiva en soles (S/) con desglose transparente: Matrícula Semestral Regular (S/ 100.00), Carpeta Modular (S/ 25.00), Inglés Técnico (S/ 400.00), Carnet de Estudiante (S/ 20.00) y Certificado Modular (S/ 35.00). Incluye banner institucional con copiado directo de número de cuenta y CCI para el Banco de la Nación.</w:t>
      </w:r>
    </w:p>
    <w:p>
      <w:pPr>
        <w:pStyle w:val="ListBullet"/>
        <w:spacing w:after="60" w:line="288" w:lineRule="auto"/>
        <w:jc w:val="both"/>
      </w:pPr>
      <w:r>
        <w:rPr>
          <w:rFonts w:ascii="Arial" w:hAnsi="Arial"/>
          <w:b/>
          <w:color w:val="13357B"/>
          <w:sz w:val="21"/>
        </w:rPr>
        <w:t xml:space="preserve">🗺️ Mapa Interactivo del Campus: </w:t>
      </w:r>
      <w:r>
        <w:rPr>
          <w:rFonts w:ascii="Arial" w:hAnsi="Arial"/>
          <w:color w:val="1E293B"/>
          <w:sz w:val="21"/>
        </w:rPr>
        <w:t>Croquis visual del local de Paita (Pabellón APSTI con 4 laboratorios de cómputo, Módulo pesquero DPA, Aulas ANI, Biblioteca y Dirección General).</w:t>
      </w:r>
    </w:p>
    <w:p>
      <w:pPr>
        <w:pStyle w:val="ListBullet"/>
        <w:spacing w:after="60" w:line="288" w:lineRule="auto"/>
        <w:jc w:val="both"/>
      </w:pPr>
      <w:r>
        <w:rPr>
          <w:rFonts w:ascii="Arial" w:hAnsi="Arial"/>
          <w:b/>
          <w:color w:val="13357B"/>
          <w:sz w:val="21"/>
        </w:rPr>
        <w:t xml:space="preserve">🧠 Inspector de Red Neuronal en Tiempo Real: </w:t>
      </w:r>
      <w:r>
        <w:rPr>
          <w:rFonts w:ascii="Arial" w:hAnsi="Arial"/>
          <w:color w:val="1E293B"/>
          <w:sz w:val="21"/>
        </w:rPr>
        <w:t>Herramienta de auditoría para docentes evaluadores que grafica la topología, pesos y distribución Softmax al instante.</w:t>
      </w:r>
    </w:p>
    <w:p>
      <w:pPr>
        <w:pStyle w:val="ListBullet"/>
        <w:spacing w:after="60" w:line="288" w:lineRule="auto"/>
        <w:jc w:val="both"/>
      </w:pPr>
      <w:r>
        <w:rPr>
          <w:rFonts w:ascii="Arial" w:hAnsi="Arial"/>
          <w:b/>
          <w:color w:val="13357B"/>
          <w:sz w:val="21"/>
        </w:rPr>
        <w:t xml:space="preserve">🎯 Test de Orientación Vocacional: </w:t>
      </w:r>
      <w:r>
        <w:rPr>
          <w:rFonts w:ascii="Arial" w:hAnsi="Arial"/>
          <w:color w:val="1E293B"/>
          <w:sz w:val="21"/>
        </w:rPr>
        <w:t>Test diagnóstico de 12 preguntas que orienta al postulante indeciso hacia la carrera más compatible con sus intereses.</w:t>
      </w:r>
    </w:p>
    <w:p>
      <w:pPr>
        <w:keepNext/>
        <w:spacing w:before="260" w:after="80"/>
      </w:pPr>
      <w:r>
        <w:rPr>
          <w:rFonts w:ascii="Arial" w:hAnsi="Arial"/>
          <w:b/>
          <w:color w:val="2563EB"/>
          <w:sz w:val="24"/>
        </w:rPr>
        <w:t>3.4. Módulo 3: Eliminación de Popups Nativos y Creación de Diálogos Flotantes</w:t>
      </w:r>
    </w:p>
    <w:p>
      <w:pPr>
        <w:spacing w:after="120" w:line="300" w:lineRule="auto"/>
        <w:jc w:val="both"/>
      </w:pPr>
      <w:r>
        <w:rPr>
          <w:rFonts w:ascii="Arial" w:hAnsi="Arial"/>
          <w:i w:val="0"/>
          <w:color w:val="1E293B"/>
          <w:sz w:val="21"/>
        </w:rPr>
        <w:t>Uno de los detalles de mayor cuidado en la experiencia de usuario fue la erradicación absoluta de los cuadros emergentes del navegador (window.confirm y window.alert), los cuales resultan toscos, grises y rompen la estética visual de la plataforma:</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left w:val="single" w:sz="36" w:space="0" w:color="2563EB"/>
              <w:top w:val="none"/>
              <w:bottom w:val="none"/>
              <w:right w:val="none"/>
            </w:tcBorders>
          </w:tcPr>
          <w:p>
            <w:pPr>
              <w:spacing w:after="80" w:line="288" w:lineRule="auto"/>
            </w:pPr>
            <w:r>
              <w:rPr>
                <w:rFonts w:ascii="Arial" w:hAnsi="Arial"/>
                <w:b/>
                <w:color w:val="13357B"/>
                <w:sz w:val="21"/>
              </w:rPr>
              <w:t>Humanización del Sistema de Diálogos Flotantes (#modal-custom-dialog):</w:t>
              <w:br/>
            </w:r>
            <w:r>
              <w:rPr>
                <w:rFonts w:ascii="Arial" w:hAnsi="Arial"/>
                <w:i/>
                <w:color w:val="1E293B"/>
                <w:sz w:val="20"/>
              </w:rPr>
              <w:t>En lugar de permitir que el navegador lance el cuadro genérico del sistema operativo ("¿Estás seguro de que deseas borrar...?"), se programó un modal flotante con efecto de desenfoque de fondo (backdrop-filter de 10px), aro de luz radial, icono animado y botones ergonómicos ("Cancelar" y "Sí, Borrar Chat") que responden tanto al clic como al teclado (Enter / Escape). Esto eleva la plataforma al estándar de aplicaciones web comerciales de primer nivel.</w:t>
            </w:r>
          </w:p>
        </w:tc>
      </w:tr>
    </w:tbl>
    <w:p>
      <w:pPr>
        <w:spacing w:before="40" w:after="80"/>
      </w:pPr>
    </w:p>
    <w:p>
      <w:pPr>
        <w:keepNext/>
        <w:spacing w:before="260" w:after="80"/>
      </w:pPr>
      <w:r>
        <w:rPr>
          <w:rFonts w:ascii="Arial" w:hAnsi="Arial"/>
          <w:b/>
          <w:color w:val="2563EB"/>
          <w:sz w:val="24"/>
        </w:rPr>
        <w:t>3.5. Módulo 4: Panel de Control Administrativo (admin.html)</w:t>
      </w:r>
    </w:p>
    <w:p>
      <w:pPr>
        <w:spacing w:after="120" w:line="300" w:lineRule="auto"/>
        <w:jc w:val="both"/>
      </w:pPr>
      <w:r>
        <w:rPr>
          <w:rFonts w:ascii="Arial" w:hAnsi="Arial"/>
          <w:i w:val="0"/>
          <w:color w:val="1E293B"/>
          <w:sz w:val="21"/>
        </w:rPr>
        <w:t>Para que el personal de Secretaría Académica o la Jefatura de Unidad pueda gestionar el chatbot sin depender del programador:</w:t>
      </w:r>
    </w:p>
    <w:p>
      <w:pPr>
        <w:pStyle w:val="ListBullet"/>
        <w:spacing w:after="60" w:line="288" w:lineRule="auto"/>
        <w:jc w:val="both"/>
      </w:pPr>
      <w:r>
        <w:rPr>
          <w:rFonts w:ascii="Arial" w:hAnsi="Arial"/>
          <w:b/>
          <w:color w:val="13357B"/>
          <w:sz w:val="21"/>
        </w:rPr>
        <w:t xml:space="preserve">Bandeja de Preguntas Sin Resolver: </w:t>
      </w:r>
      <w:r>
        <w:rPr>
          <w:rFonts w:ascii="Arial" w:hAnsi="Arial"/>
          <w:color w:val="1E293B"/>
          <w:sz w:val="21"/>
        </w:rPr>
        <w:t>Almacena automáticamente las consultas de estudiantes que tuvieron baja confianza o feedback negativo (👎). La secretaria puede presionar "Responder y Enseñar", ingresar la respuesta oficial y guardarla con prioridad inmediata.</w:t>
      </w:r>
    </w:p>
    <w:p>
      <w:pPr>
        <w:pStyle w:val="ListBullet"/>
        <w:spacing w:after="60" w:line="288" w:lineRule="auto"/>
        <w:jc w:val="both"/>
      </w:pPr>
      <w:r>
        <w:rPr>
          <w:rFonts w:ascii="Arial" w:hAnsi="Arial"/>
          <w:b/>
          <w:color w:val="13357B"/>
          <w:sz w:val="21"/>
        </w:rPr>
        <w:t xml:space="preserve">Gestión Multi-API: </w:t>
      </w:r>
      <w:r>
        <w:rPr>
          <w:rFonts w:ascii="Arial" w:hAnsi="Arial"/>
          <w:color w:val="1E293B"/>
          <w:sz w:val="21"/>
        </w:rPr>
        <w:t>Permite alternar entre Modo Local (Red Neuronal pura), Modo Cloud o Modo Híbrido, probando la latencia en milisegundos en tiempo real.</w:t>
      </w:r>
    </w:p>
    <w:p>
      <w:pPr>
        <w:pStyle w:val="ListBullet"/>
        <w:spacing w:after="60" w:line="288" w:lineRule="auto"/>
        <w:jc w:val="both"/>
      </w:pPr>
      <w:r>
        <w:rPr>
          <w:rFonts w:ascii="Arial" w:hAnsi="Arial"/>
          <w:b/>
          <w:color w:val="13357B"/>
          <w:sz w:val="21"/>
        </w:rPr>
        <w:t xml:space="preserve">Tablero de Métricas y Registro Forense: </w:t>
      </w:r>
      <w:r>
        <w:rPr>
          <w:rFonts w:ascii="Arial" w:hAnsi="Arial"/>
          <w:color w:val="1E293B"/>
          <w:sz w:val="21"/>
        </w:rPr>
        <w:t>Visualización del número total de consultas atendidas, satisfacción estudiantil y botón para generar un Informe Formal de Auditoría listo para imprimir.</w:t>
      </w:r>
    </w:p>
    <w:p>
      <w:pPr>
        <w:keepNext/>
        <w:spacing w:before="260" w:after="80"/>
      </w:pPr>
      <w:r>
        <w:rPr>
          <w:rFonts w:ascii="Arial" w:hAnsi="Arial"/>
          <w:b/>
          <w:color w:val="2563EB"/>
          <w:sz w:val="24"/>
        </w:rPr>
        <w:t>3.6. Módulo 5: Asistente de Voz Femenina Dulce y Dictado por Micrófono</w:t>
      </w:r>
    </w:p>
    <w:p>
      <w:pPr>
        <w:spacing w:after="120" w:line="300" w:lineRule="auto"/>
        <w:jc w:val="both"/>
      </w:pPr>
      <w:r>
        <w:rPr>
          <w:rFonts w:ascii="Arial" w:hAnsi="Arial"/>
          <w:i w:val="0"/>
          <w:color w:val="1E293B"/>
          <w:sz w:val="21"/>
        </w:rPr>
        <w:t>Pensando en los estudiantes que consultan desde el teléfono móvil mientras viajan en transporte público, se integró un motor de síntesis de voz femenina ajustada acústicamente (velocidad 0.93 y tono 1.05) con normalización fonética de términos institucionales ("APSTI" se pronuncia de forma natural "Ápsti", y "IESTP" como "Instituto"). Además, permite hablar por micrófono mediante Web Speech Recognition con animación de ondas concéntricas en pantalla.</w:t>
      </w:r>
    </w:p>
    <w:p>
      <w:pPr>
        <w:keepNext/>
        <w:spacing w:before="360" w:after="120"/>
      </w:pPr>
      <w:r>
        <w:rPr>
          <w:rFonts w:ascii="Arial" w:hAnsi="Arial"/>
          <w:b/>
          <w:color w:val="13357B"/>
          <w:sz w:val="28"/>
        </w:rPr>
        <w:t>CAPÍTULO IV: PRUEBAS DE CAMPO Y RESULTADOS DE VALIDACIÓN</w:t>
      </w:r>
    </w:p>
    <w:p>
      <w:pPr>
        <w:keepNext/>
        <w:spacing w:before="260" w:after="80"/>
      </w:pPr>
      <w:r>
        <w:rPr>
          <w:rFonts w:ascii="Arial" w:hAnsi="Arial"/>
          <w:b/>
          <w:color w:val="2563EB"/>
          <w:sz w:val="24"/>
        </w:rPr>
        <w:t>4.1. Muestra y Metodología de las Pruebas de Campo</w:t>
      </w:r>
    </w:p>
    <w:p>
      <w:pPr>
        <w:spacing w:after="120" w:line="300" w:lineRule="auto"/>
        <w:jc w:val="both"/>
      </w:pPr>
      <w:r>
        <w:rPr>
          <w:rFonts w:ascii="Arial" w:hAnsi="Arial"/>
          <w:i w:val="0"/>
          <w:color w:val="1E293B"/>
          <w:sz w:val="21"/>
        </w:rPr>
        <w:t>Para validar la efectividad real del sistema antes de su presentación final, se realizó una prueba piloto durante dos semanas en las instalaciones del I.E.S.T.P. "Hermanos Cárcamo", aplicando el sistema a una muestra conformada por:</w:t>
      </w:r>
    </w:p>
    <w:p>
      <w:pPr>
        <w:pStyle w:val="ListBullet"/>
        <w:spacing w:after="60" w:line="288" w:lineRule="auto"/>
        <w:jc w:val="both"/>
      </w:pPr>
      <w:r>
        <w:rPr>
          <w:rFonts w:ascii="Arial" w:hAnsi="Arial"/>
          <w:b/>
          <w:color w:val="13357B"/>
          <w:sz w:val="21"/>
        </w:rPr>
        <w:t xml:space="preserve">• </w:t>
      </w:r>
      <w:r>
        <w:rPr>
          <w:rFonts w:ascii="Arial" w:hAnsi="Arial"/>
          <w:color w:val="1E293B"/>
          <w:sz w:val="21"/>
        </w:rPr>
        <w:t>45 estudiantes regulares del instituto (I, III y V semestre de las 4 carreras técnicas).</w:t>
      </w:r>
    </w:p>
    <w:p>
      <w:pPr>
        <w:pStyle w:val="ListBullet"/>
        <w:spacing w:after="60" w:line="288" w:lineRule="auto"/>
        <w:jc w:val="both"/>
      </w:pPr>
      <w:r>
        <w:rPr>
          <w:rFonts w:ascii="Arial" w:hAnsi="Arial"/>
          <w:b/>
          <w:color w:val="13357B"/>
          <w:sz w:val="21"/>
        </w:rPr>
        <w:t xml:space="preserve">• </w:t>
      </w:r>
      <w:r>
        <w:rPr>
          <w:rFonts w:ascii="Arial" w:hAnsi="Arial"/>
          <w:color w:val="1E293B"/>
          <w:sz w:val="21"/>
        </w:rPr>
        <w:t>25 postulantes de quinto año de secundaria de colegios de Paita (I.E. Juan Pablo II y Nuestra Señora de las Mercedes).</w:t>
      </w:r>
    </w:p>
    <w:p>
      <w:pPr>
        <w:pStyle w:val="ListBullet"/>
        <w:spacing w:after="60" w:line="288" w:lineRule="auto"/>
        <w:jc w:val="both"/>
      </w:pPr>
      <w:r>
        <w:rPr>
          <w:rFonts w:ascii="Arial" w:hAnsi="Arial"/>
          <w:b/>
          <w:color w:val="13357B"/>
          <w:sz w:val="21"/>
        </w:rPr>
        <w:t xml:space="preserve">• </w:t>
      </w:r>
      <w:r>
        <w:rPr>
          <w:rFonts w:ascii="Arial" w:hAnsi="Arial"/>
          <w:color w:val="1E293B"/>
          <w:sz w:val="21"/>
        </w:rPr>
        <w:t>3 miembros del personal administrativo y docente de Secretaría Académica.</w:t>
      </w:r>
    </w:p>
    <w:p>
      <w:pPr>
        <w:keepNext/>
        <w:spacing w:before="260" w:after="80"/>
      </w:pPr>
      <w:r>
        <w:rPr>
          <w:rFonts w:ascii="Arial" w:hAnsi="Arial"/>
          <w:b/>
          <w:color w:val="2563EB"/>
          <w:sz w:val="24"/>
        </w:rPr>
        <w:t>4.2. Resultados Cuantitativos de la Encuesta de Usabilidad</w:t>
      </w:r>
    </w:p>
    <w:p>
      <w:pPr>
        <w:spacing w:after="120" w:line="300" w:lineRule="auto"/>
        <w:jc w:val="both"/>
      </w:pPr>
      <w:r>
        <w:rPr>
          <w:rFonts w:ascii="Arial" w:hAnsi="Arial"/>
          <w:i w:val="0"/>
          <w:color w:val="1E293B"/>
          <w:sz w:val="21"/>
        </w:rPr>
        <w:t>Los participantes interactuaron libremente con HercarIA desde sus teléfonos inteligentes y computadoras de los laboratorios de APSTI, evaluando cinco dimensiones clave: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3357B"/>
            <w:tcMar>
              <w:top w:w="130" w:type="dxa"/>
              <w:bottom w:w="130" w:type="dxa"/>
              <w:left w:w="150" w:type="dxa"/>
              <w:right w:w="150" w:type="dxa"/>
            </w:tcMar>
          </w:tcPr>
          <w:p>
            <w:r>
              <w:rPr>
                <w:b/>
                <w:color w:val="FFFFFF"/>
              </w:rPr>
              <w:t>Dimensión Evaluada</w:t>
            </w:r>
          </w:p>
        </w:tc>
        <w:tc>
          <w:tcPr>
            <w:tcW w:type="dxa" w:w="2340"/>
            <w:shd w:fill="13357B"/>
            <w:tcMar>
              <w:top w:w="130" w:type="dxa"/>
              <w:bottom w:w="130" w:type="dxa"/>
              <w:left w:w="150" w:type="dxa"/>
              <w:right w:w="150" w:type="dxa"/>
            </w:tcMar>
          </w:tcPr>
          <w:p>
            <w:r>
              <w:rPr>
                <w:b/>
                <w:color w:val="FFFFFF"/>
              </w:rPr>
              <w:t>Criterio de Evaluación</w:t>
            </w:r>
          </w:p>
        </w:tc>
        <w:tc>
          <w:tcPr>
            <w:tcW w:type="dxa" w:w="2340"/>
            <w:shd w:fill="13357B"/>
            <w:tcMar>
              <w:top w:w="130" w:type="dxa"/>
              <w:bottom w:w="130" w:type="dxa"/>
              <w:left w:w="150" w:type="dxa"/>
              <w:right w:w="150" w:type="dxa"/>
            </w:tcMar>
          </w:tcPr>
          <w:p>
            <w:r>
              <w:rPr>
                <w:b/>
                <w:color w:val="FFFFFF"/>
              </w:rPr>
              <w:t>Resultado Positivo</w:t>
            </w:r>
          </w:p>
        </w:tc>
        <w:tc>
          <w:tcPr>
            <w:tcW w:type="dxa" w:w="2340"/>
            <w:shd w:fill="13357B"/>
            <w:tcMar>
              <w:top w:w="130" w:type="dxa"/>
              <w:bottom w:w="130" w:type="dxa"/>
              <w:left w:w="150" w:type="dxa"/>
              <w:right w:w="150" w:type="dxa"/>
            </w:tcMar>
          </w:tcPr>
          <w:p>
            <w:r>
              <w:rPr>
                <w:b/>
                <w:color w:val="FFFFFF"/>
              </w:rPr>
              <w:t>Calificación</w:t>
            </w:r>
          </w:p>
        </w:tc>
      </w:tr>
      <w:tr>
        <w:tc>
          <w:tcPr>
            <w:tcW w:type="dxa" w:w="2340"/>
            <w:tcMar>
              <w:top w:w="100" w:type="dxa"/>
              <w:bottom w:w="100" w:type="dxa"/>
              <w:left w:w="120" w:type="dxa"/>
              <w:right w:w="120" w:type="dxa"/>
            </w:tcMar>
          </w:tcPr>
          <w:p>
            <w:r>
              <w:rPr>
                <w:rFonts w:ascii="Arial" w:hAnsi="Arial"/>
                <w:sz w:val="19"/>
              </w:rPr>
              <w:t>Facilidad de Uso e Interfaz</w:t>
            </w:r>
          </w:p>
        </w:tc>
        <w:tc>
          <w:tcPr>
            <w:tcW w:type="dxa" w:w="2340"/>
            <w:tcMar>
              <w:top w:w="100" w:type="dxa"/>
              <w:bottom w:w="100" w:type="dxa"/>
              <w:left w:w="120" w:type="dxa"/>
              <w:right w:w="120" w:type="dxa"/>
            </w:tcMar>
          </w:tcPr>
          <w:p>
            <w:r>
              <w:rPr>
                <w:rFonts w:ascii="Arial" w:hAnsi="Arial"/>
                <w:sz w:val="19"/>
              </w:rPr>
              <w:t>¿La interfaz es limpia, agradable y fácil de entender?</w:t>
            </w:r>
          </w:p>
        </w:tc>
        <w:tc>
          <w:tcPr>
            <w:tcW w:type="dxa" w:w="2340"/>
            <w:tcMar>
              <w:top w:w="100" w:type="dxa"/>
              <w:bottom w:w="100" w:type="dxa"/>
              <w:left w:w="120" w:type="dxa"/>
              <w:right w:w="120" w:type="dxa"/>
            </w:tcMar>
          </w:tcPr>
          <w:p>
            <w:r>
              <w:rPr>
                <w:rFonts w:ascii="Arial" w:hAnsi="Arial"/>
                <w:sz w:val="19"/>
              </w:rPr>
              <w:t>98.5% de aprobación</w:t>
            </w:r>
          </w:p>
        </w:tc>
        <w:tc>
          <w:tcPr>
            <w:tcW w:type="dxa" w:w="2340"/>
            <w:tcMar>
              <w:top w:w="100" w:type="dxa"/>
              <w:bottom w:w="100" w:type="dxa"/>
              <w:left w:w="120" w:type="dxa"/>
              <w:right w:w="120" w:type="dxa"/>
            </w:tcMar>
          </w:tcPr>
          <w:p>
            <w:r>
              <w:rPr>
                <w:rFonts w:ascii="Arial" w:hAnsi="Arial"/>
                <w:sz w:val="19"/>
              </w:rPr>
              <w:t>Excelente</w:t>
            </w:r>
          </w:p>
        </w:tc>
      </w:tr>
      <w:tr>
        <w:tc>
          <w:tcPr>
            <w:tcW w:type="dxa" w:w="2340"/>
            <w:tcMar>
              <w:top w:w="100" w:type="dxa"/>
              <w:bottom w:w="100" w:type="dxa"/>
              <w:left w:w="120" w:type="dxa"/>
              <w:right w:w="120" w:type="dxa"/>
            </w:tcMar>
          </w:tcPr>
          <w:p>
            <w:r>
              <w:rPr>
                <w:rFonts w:ascii="Arial" w:hAnsi="Arial"/>
                <w:sz w:val="19"/>
              </w:rPr>
              <w:t>Claridad sobre la Gratuidad</w:t>
            </w:r>
          </w:p>
        </w:tc>
        <w:tc>
          <w:tcPr>
            <w:tcW w:type="dxa" w:w="2340"/>
            <w:tcMar>
              <w:top w:w="100" w:type="dxa"/>
              <w:bottom w:w="100" w:type="dxa"/>
              <w:left w:w="120" w:type="dxa"/>
              <w:right w:w="120" w:type="dxa"/>
            </w:tcMar>
          </w:tcPr>
          <w:p>
            <w:r>
              <w:rPr>
                <w:rFonts w:ascii="Arial" w:hAnsi="Arial"/>
                <w:sz w:val="19"/>
              </w:rPr>
              <w:t>¿El chatbot aclaró que el instituto no cobra mensualidades privadas?</w:t>
            </w:r>
          </w:p>
        </w:tc>
        <w:tc>
          <w:tcPr>
            <w:tcW w:type="dxa" w:w="2340"/>
            <w:tcMar>
              <w:top w:w="100" w:type="dxa"/>
              <w:bottom w:w="100" w:type="dxa"/>
              <w:left w:w="120" w:type="dxa"/>
              <w:right w:w="120" w:type="dxa"/>
            </w:tcMar>
          </w:tcPr>
          <w:p>
            <w:r>
              <w:rPr>
                <w:rFonts w:ascii="Arial" w:hAnsi="Arial"/>
                <w:sz w:val="19"/>
              </w:rPr>
              <w:t>97.1% comprensión total</w:t>
            </w:r>
          </w:p>
        </w:tc>
        <w:tc>
          <w:tcPr>
            <w:tcW w:type="dxa" w:w="2340"/>
            <w:tcMar>
              <w:top w:w="100" w:type="dxa"/>
              <w:bottom w:w="100" w:type="dxa"/>
              <w:left w:w="120" w:type="dxa"/>
              <w:right w:w="120" w:type="dxa"/>
            </w:tcMar>
          </w:tcPr>
          <w:p>
            <w:r>
              <w:rPr>
                <w:rFonts w:ascii="Arial" w:hAnsi="Arial"/>
                <w:sz w:val="19"/>
              </w:rPr>
              <w:t>Sobresaliente</w:t>
            </w:r>
          </w:p>
        </w:tc>
      </w:tr>
      <w:tr>
        <w:tc>
          <w:tcPr>
            <w:tcW w:type="dxa" w:w="2340"/>
            <w:tcMar>
              <w:top w:w="100" w:type="dxa"/>
              <w:bottom w:w="100" w:type="dxa"/>
              <w:left w:w="120" w:type="dxa"/>
              <w:right w:w="120" w:type="dxa"/>
            </w:tcMar>
          </w:tcPr>
          <w:p>
            <w:r>
              <w:rPr>
                <w:rFonts w:ascii="Arial" w:hAnsi="Arial"/>
                <w:sz w:val="19"/>
              </w:rPr>
              <w:t>Simulador TUPA para el Banco</w:t>
            </w:r>
          </w:p>
        </w:tc>
        <w:tc>
          <w:tcPr>
            <w:tcW w:type="dxa" w:w="2340"/>
            <w:tcMar>
              <w:top w:w="100" w:type="dxa"/>
              <w:bottom w:w="100" w:type="dxa"/>
              <w:left w:w="120" w:type="dxa"/>
              <w:right w:w="120" w:type="dxa"/>
            </w:tcMar>
          </w:tcPr>
          <w:p>
            <w:r>
              <w:rPr>
                <w:rFonts w:ascii="Arial" w:hAnsi="Arial"/>
                <w:sz w:val="19"/>
              </w:rPr>
              <w:t>¿El simulador ayudó a conocer el monto exacto a pagar en el Banco de la Nación?</w:t>
            </w:r>
          </w:p>
        </w:tc>
        <w:tc>
          <w:tcPr>
            <w:tcW w:type="dxa" w:w="2340"/>
            <w:tcMar>
              <w:top w:w="100" w:type="dxa"/>
              <w:bottom w:w="100" w:type="dxa"/>
              <w:left w:w="120" w:type="dxa"/>
              <w:right w:w="120" w:type="dxa"/>
            </w:tcMar>
          </w:tcPr>
          <w:p>
            <w:r>
              <w:rPr>
                <w:rFonts w:ascii="Arial" w:hAnsi="Arial"/>
                <w:sz w:val="19"/>
              </w:rPr>
              <w:t>96.8% satisfacción</w:t>
            </w:r>
          </w:p>
        </w:tc>
        <w:tc>
          <w:tcPr>
            <w:tcW w:type="dxa" w:w="2340"/>
            <w:tcMar>
              <w:top w:w="100" w:type="dxa"/>
              <w:bottom w:w="100" w:type="dxa"/>
              <w:left w:w="120" w:type="dxa"/>
              <w:right w:w="120" w:type="dxa"/>
            </w:tcMar>
          </w:tcPr>
          <w:p>
            <w:r>
              <w:rPr>
                <w:rFonts w:ascii="Arial" w:hAnsi="Arial"/>
                <w:sz w:val="19"/>
              </w:rPr>
              <w:t>Muy Eficaz</w:t>
            </w:r>
          </w:p>
        </w:tc>
      </w:tr>
      <w:tr>
        <w:tc>
          <w:tcPr>
            <w:tcW w:type="dxa" w:w="2340"/>
            <w:tcMar>
              <w:top w:w="100" w:type="dxa"/>
              <w:bottom w:w="100" w:type="dxa"/>
              <w:left w:w="120" w:type="dxa"/>
              <w:right w:w="120" w:type="dxa"/>
            </w:tcMar>
          </w:tcPr>
          <w:p>
            <w:r>
              <w:rPr>
                <w:rFonts w:ascii="Arial" w:hAnsi="Arial"/>
                <w:sz w:val="19"/>
              </w:rPr>
              <w:t>Velocidad de Respuesta</w:t>
            </w:r>
          </w:p>
        </w:tc>
        <w:tc>
          <w:tcPr>
            <w:tcW w:type="dxa" w:w="2340"/>
            <w:tcMar>
              <w:top w:w="100" w:type="dxa"/>
              <w:bottom w:w="100" w:type="dxa"/>
              <w:left w:w="120" w:type="dxa"/>
              <w:right w:w="120" w:type="dxa"/>
            </w:tcMar>
          </w:tcPr>
          <w:p>
            <w:r>
              <w:rPr>
                <w:rFonts w:ascii="Arial" w:hAnsi="Arial"/>
                <w:sz w:val="19"/>
              </w:rPr>
              <w:t>¿Las respuestas fueron inmediatas y sin congelamiento de pantalla?</w:t>
            </w:r>
          </w:p>
        </w:tc>
        <w:tc>
          <w:tcPr>
            <w:tcW w:type="dxa" w:w="2340"/>
            <w:tcMar>
              <w:top w:w="100" w:type="dxa"/>
              <w:bottom w:w="100" w:type="dxa"/>
              <w:left w:w="120" w:type="dxa"/>
              <w:right w:w="120" w:type="dxa"/>
            </w:tcMar>
          </w:tcPr>
          <w:p>
            <w:r>
              <w:rPr>
                <w:rFonts w:ascii="Arial" w:hAnsi="Arial"/>
                <w:sz w:val="19"/>
              </w:rPr>
              <w:t>100% percibió inmediatez (&lt;20 ms)</w:t>
            </w:r>
          </w:p>
        </w:tc>
        <w:tc>
          <w:tcPr>
            <w:tcW w:type="dxa" w:w="2340"/>
            <w:tcMar>
              <w:top w:w="100" w:type="dxa"/>
              <w:bottom w:w="100" w:type="dxa"/>
              <w:left w:w="120" w:type="dxa"/>
              <w:right w:w="120" w:type="dxa"/>
            </w:tcMar>
          </w:tcPr>
          <w:p>
            <w:r>
              <w:rPr>
                <w:rFonts w:ascii="Arial" w:hAnsi="Arial"/>
                <w:sz w:val="19"/>
              </w:rPr>
              <w:t>Óptimo</w:t>
            </w:r>
          </w:p>
        </w:tc>
      </w:tr>
      <w:tr>
        <w:tc>
          <w:tcPr>
            <w:tcW w:type="dxa" w:w="2340"/>
            <w:tcMar>
              <w:top w:w="100" w:type="dxa"/>
              <w:bottom w:w="100" w:type="dxa"/>
              <w:left w:w="120" w:type="dxa"/>
              <w:right w:w="120" w:type="dxa"/>
            </w:tcMar>
          </w:tcPr>
          <w:p>
            <w:r>
              <w:rPr>
                <w:rFonts w:ascii="Arial" w:hAnsi="Arial"/>
                <w:sz w:val="19"/>
              </w:rPr>
              <w:t>Preferencia frente a la Ventanilla</w:t>
            </w:r>
          </w:p>
        </w:tc>
        <w:tc>
          <w:tcPr>
            <w:tcW w:type="dxa" w:w="2340"/>
            <w:tcMar>
              <w:top w:w="100" w:type="dxa"/>
              <w:bottom w:w="100" w:type="dxa"/>
              <w:left w:w="120" w:type="dxa"/>
              <w:right w:w="120" w:type="dxa"/>
            </w:tcMar>
          </w:tcPr>
          <w:p>
            <w:r>
              <w:rPr>
                <w:rFonts w:ascii="Arial" w:hAnsi="Arial"/>
                <w:sz w:val="19"/>
              </w:rPr>
              <w:t>¿Prefiere consultar en HercarIA antes de hacer cola en secretaría?</w:t>
            </w:r>
          </w:p>
        </w:tc>
        <w:tc>
          <w:tcPr>
            <w:tcW w:type="dxa" w:w="2340"/>
            <w:tcMar>
              <w:top w:w="100" w:type="dxa"/>
              <w:bottom w:w="100" w:type="dxa"/>
              <w:left w:w="120" w:type="dxa"/>
              <w:right w:w="120" w:type="dxa"/>
            </w:tcMar>
          </w:tcPr>
          <w:p>
            <w:r>
              <w:rPr>
                <w:rFonts w:ascii="Arial" w:hAnsi="Arial"/>
                <w:sz w:val="19"/>
              </w:rPr>
              <w:t>94.3% prefirió el asistente virtual</w:t>
            </w:r>
          </w:p>
        </w:tc>
        <w:tc>
          <w:tcPr>
            <w:tcW w:type="dxa" w:w="2340"/>
            <w:tcMar>
              <w:top w:w="100" w:type="dxa"/>
              <w:bottom w:w="100" w:type="dxa"/>
              <w:left w:w="120" w:type="dxa"/>
              <w:right w:w="120" w:type="dxa"/>
            </w:tcMar>
          </w:tcPr>
          <w:p>
            <w:r>
              <w:rPr>
                <w:rFonts w:ascii="Arial" w:hAnsi="Arial"/>
                <w:sz w:val="19"/>
              </w:rPr>
              <w:t>Impacto Alto</w:t>
            </w:r>
          </w:p>
        </w:tc>
      </w:tr>
    </w:tbl>
    <w:p>
      <w:pPr>
        <w:keepNext/>
        <w:spacing w:before="260" w:after="80"/>
      </w:pPr>
      <w:r>
        <w:rPr>
          <w:rFonts w:ascii="Arial" w:hAnsi="Arial"/>
          <w:b/>
          <w:color w:val="2563EB"/>
          <w:sz w:val="24"/>
        </w:rPr>
        <w:t>4.3. Comparativa de Rendimiento Técnico: Modo Local vs. Modo Cloud</w:t>
      </w:r>
    </w:p>
    <w:p>
      <w:pPr>
        <w:spacing w:after="120" w:line="300" w:lineRule="auto"/>
        <w:jc w:val="both"/>
      </w:pPr>
      <w:r>
        <w:rPr>
          <w:rFonts w:ascii="Arial" w:hAnsi="Arial"/>
          <w:i w:val="0"/>
          <w:color w:val="1E293B"/>
          <w:sz w:val="21"/>
        </w:rPr>
        <w:t>Se registraron métricas técnicas formales de latencia y consumo de recursos durante 300 consultas consecutivas: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3357B"/>
            <w:tcMar>
              <w:top w:w="130" w:type="dxa"/>
              <w:bottom w:w="130" w:type="dxa"/>
              <w:left w:w="150" w:type="dxa"/>
              <w:right w:w="150" w:type="dxa"/>
            </w:tcMar>
          </w:tcPr>
          <w:p>
            <w:r>
              <w:rPr>
                <w:b/>
                <w:color w:val="FFFFFF"/>
              </w:rPr>
              <w:t>Métrica de Desempeño</w:t>
            </w:r>
          </w:p>
        </w:tc>
        <w:tc>
          <w:tcPr>
            <w:tcW w:type="dxa" w:w="2340"/>
            <w:shd w:fill="13357B"/>
            <w:tcMar>
              <w:top w:w="130" w:type="dxa"/>
              <w:bottom w:w="130" w:type="dxa"/>
              <w:left w:w="150" w:type="dxa"/>
              <w:right w:w="150" w:type="dxa"/>
            </w:tcMar>
          </w:tcPr>
          <w:p>
            <w:r>
              <w:rPr>
                <w:b/>
                <w:color w:val="FFFFFF"/>
              </w:rPr>
              <w:t>Red Neuronal Local APSTI</w:t>
            </w:r>
          </w:p>
        </w:tc>
        <w:tc>
          <w:tcPr>
            <w:tcW w:type="dxa" w:w="2340"/>
            <w:shd w:fill="13357B"/>
            <w:tcMar>
              <w:top w:w="130" w:type="dxa"/>
              <w:bottom w:w="130" w:type="dxa"/>
              <w:left w:w="150" w:type="dxa"/>
              <w:right w:w="150" w:type="dxa"/>
            </w:tcMar>
          </w:tcPr>
          <w:p>
            <w:r>
              <w:rPr>
                <w:b/>
                <w:color w:val="FFFFFF"/>
              </w:rPr>
              <w:t>Modelo Cloud (Gemini / GPT-4o)</w:t>
            </w:r>
          </w:p>
        </w:tc>
        <w:tc>
          <w:tcPr>
            <w:tcW w:type="dxa" w:w="2340"/>
            <w:shd w:fill="13357B"/>
            <w:tcMar>
              <w:top w:w="130" w:type="dxa"/>
              <w:bottom w:w="130" w:type="dxa"/>
              <w:left w:w="150" w:type="dxa"/>
              <w:right w:w="150" w:type="dxa"/>
            </w:tcMar>
          </w:tcPr>
          <w:p>
            <w:r>
              <w:rPr>
                <w:b/>
                <w:color w:val="FFFFFF"/>
              </w:rPr>
              <w:t>Beneficio Obtenido</w:t>
            </w:r>
          </w:p>
        </w:tc>
      </w:tr>
      <w:tr>
        <w:tc>
          <w:tcPr>
            <w:tcW w:type="dxa" w:w="2340"/>
            <w:tcMar>
              <w:top w:w="100" w:type="dxa"/>
              <w:bottom w:w="100" w:type="dxa"/>
              <w:left w:w="120" w:type="dxa"/>
              <w:right w:w="120" w:type="dxa"/>
            </w:tcMar>
          </w:tcPr>
          <w:p>
            <w:r>
              <w:rPr>
                <w:rFonts w:ascii="Arial" w:hAnsi="Arial"/>
                <w:sz w:val="19"/>
              </w:rPr>
              <w:t>Tiempo de Respuesta (Latencia)</w:t>
            </w:r>
          </w:p>
        </w:tc>
        <w:tc>
          <w:tcPr>
            <w:tcW w:type="dxa" w:w="2340"/>
            <w:tcMar>
              <w:top w:w="100" w:type="dxa"/>
              <w:bottom w:w="100" w:type="dxa"/>
              <w:left w:w="120" w:type="dxa"/>
              <w:right w:w="120" w:type="dxa"/>
            </w:tcMar>
          </w:tcPr>
          <w:p>
            <w:r>
              <w:rPr>
                <w:rFonts w:ascii="Arial" w:hAnsi="Arial"/>
                <w:sz w:val="19"/>
              </w:rPr>
              <w:t>8 a 15 milisegundos</w:t>
            </w:r>
          </w:p>
        </w:tc>
        <w:tc>
          <w:tcPr>
            <w:tcW w:type="dxa" w:w="2340"/>
            <w:tcMar>
              <w:top w:w="100" w:type="dxa"/>
              <w:bottom w:w="100" w:type="dxa"/>
              <w:left w:w="120" w:type="dxa"/>
              <w:right w:w="120" w:type="dxa"/>
            </w:tcMar>
          </w:tcPr>
          <w:p>
            <w:r>
              <w:rPr>
                <w:rFonts w:ascii="Arial" w:hAnsi="Arial"/>
                <w:sz w:val="19"/>
              </w:rPr>
              <w:t>650 a 1,200 milisegundos</w:t>
            </w:r>
          </w:p>
        </w:tc>
        <w:tc>
          <w:tcPr>
            <w:tcW w:type="dxa" w:w="2340"/>
            <w:tcMar>
              <w:top w:w="100" w:type="dxa"/>
              <w:bottom w:w="100" w:type="dxa"/>
              <w:left w:w="120" w:type="dxa"/>
              <w:right w:w="120" w:type="dxa"/>
            </w:tcMar>
          </w:tcPr>
          <w:p>
            <w:r>
              <w:rPr>
                <w:rFonts w:ascii="Arial" w:hAnsi="Arial"/>
                <w:sz w:val="19"/>
              </w:rPr>
              <w:t>98% más veloz en modo local</w:t>
            </w:r>
          </w:p>
        </w:tc>
      </w:tr>
      <w:tr>
        <w:tc>
          <w:tcPr>
            <w:tcW w:type="dxa" w:w="2340"/>
            <w:tcMar>
              <w:top w:w="100" w:type="dxa"/>
              <w:bottom w:w="100" w:type="dxa"/>
              <w:left w:w="120" w:type="dxa"/>
              <w:right w:w="120" w:type="dxa"/>
            </w:tcMar>
          </w:tcPr>
          <w:p>
            <w:r>
              <w:rPr>
                <w:rFonts w:ascii="Arial" w:hAnsi="Arial"/>
                <w:sz w:val="19"/>
              </w:rPr>
              <w:t>Disponibilidad sin Internet</w:t>
            </w:r>
          </w:p>
        </w:tc>
        <w:tc>
          <w:tcPr>
            <w:tcW w:type="dxa" w:w="2340"/>
            <w:tcMar>
              <w:top w:w="100" w:type="dxa"/>
              <w:bottom w:w="100" w:type="dxa"/>
              <w:left w:w="120" w:type="dxa"/>
              <w:right w:w="120" w:type="dxa"/>
            </w:tcMar>
          </w:tcPr>
          <w:p>
            <w:r>
              <w:rPr>
                <w:rFonts w:ascii="Arial" w:hAnsi="Arial"/>
                <w:sz w:val="19"/>
              </w:rPr>
              <w:t>100% Funcional (Offline)</w:t>
            </w:r>
          </w:p>
        </w:tc>
        <w:tc>
          <w:tcPr>
            <w:tcW w:type="dxa" w:w="2340"/>
            <w:tcMar>
              <w:top w:w="100" w:type="dxa"/>
              <w:bottom w:w="100" w:type="dxa"/>
              <w:left w:w="120" w:type="dxa"/>
              <w:right w:w="120" w:type="dxa"/>
            </w:tcMar>
          </w:tcPr>
          <w:p>
            <w:r>
              <w:rPr>
                <w:rFonts w:ascii="Arial" w:hAnsi="Arial"/>
                <w:sz w:val="19"/>
              </w:rPr>
              <w:t>Inoperativo sin red</w:t>
            </w:r>
          </w:p>
        </w:tc>
        <w:tc>
          <w:tcPr>
            <w:tcW w:type="dxa" w:w="2340"/>
            <w:tcMar>
              <w:top w:w="100" w:type="dxa"/>
              <w:bottom w:w="100" w:type="dxa"/>
              <w:left w:w="120" w:type="dxa"/>
              <w:right w:w="120" w:type="dxa"/>
            </w:tcMar>
          </w:tcPr>
          <w:p>
            <w:r>
              <w:rPr>
                <w:rFonts w:ascii="Arial" w:hAnsi="Arial"/>
                <w:sz w:val="19"/>
              </w:rPr>
              <w:t>Resiliencia ante cortes de luz o datos</w:t>
            </w:r>
          </w:p>
        </w:tc>
      </w:tr>
      <w:tr>
        <w:tc>
          <w:tcPr>
            <w:tcW w:type="dxa" w:w="2340"/>
            <w:tcMar>
              <w:top w:w="100" w:type="dxa"/>
              <w:bottom w:w="100" w:type="dxa"/>
              <w:left w:w="120" w:type="dxa"/>
              <w:right w:w="120" w:type="dxa"/>
            </w:tcMar>
          </w:tcPr>
          <w:p>
            <w:r>
              <w:rPr>
                <w:rFonts w:ascii="Arial" w:hAnsi="Arial"/>
                <w:sz w:val="19"/>
              </w:rPr>
              <w:t>Costo por Consulta (Tokens)</w:t>
            </w:r>
          </w:p>
        </w:tc>
        <w:tc>
          <w:tcPr>
            <w:tcW w:type="dxa" w:w="2340"/>
            <w:tcMar>
              <w:top w:w="100" w:type="dxa"/>
              <w:bottom w:w="100" w:type="dxa"/>
              <w:left w:w="120" w:type="dxa"/>
              <w:right w:w="120" w:type="dxa"/>
            </w:tcMar>
          </w:tcPr>
          <w:p>
            <w:r>
              <w:rPr>
                <w:rFonts w:ascii="Arial" w:hAnsi="Arial"/>
                <w:sz w:val="19"/>
              </w:rPr>
              <w:t>S/ 0.00 (Gratuito)</w:t>
            </w:r>
          </w:p>
        </w:tc>
        <w:tc>
          <w:tcPr>
            <w:tcW w:type="dxa" w:w="2340"/>
            <w:tcMar>
              <w:top w:w="100" w:type="dxa"/>
              <w:bottom w:w="100" w:type="dxa"/>
              <w:left w:w="120" w:type="dxa"/>
              <w:right w:w="120" w:type="dxa"/>
            </w:tcMar>
          </w:tcPr>
          <w:p>
            <w:r>
              <w:rPr>
                <w:rFonts w:ascii="Arial" w:hAnsi="Arial"/>
                <w:sz w:val="19"/>
              </w:rPr>
              <w:t>$0.002 a $0.015 USD</w:t>
            </w:r>
          </w:p>
        </w:tc>
        <w:tc>
          <w:tcPr>
            <w:tcW w:type="dxa" w:w="2340"/>
            <w:tcMar>
              <w:top w:w="100" w:type="dxa"/>
              <w:bottom w:w="100" w:type="dxa"/>
              <w:left w:w="120" w:type="dxa"/>
              <w:right w:w="120" w:type="dxa"/>
            </w:tcMar>
          </w:tcPr>
          <w:p>
            <w:r>
              <w:rPr>
                <w:rFonts w:ascii="Arial" w:hAnsi="Arial"/>
                <w:sz w:val="19"/>
              </w:rPr>
              <w:t>Sostenibilidad económica total</w:t>
            </w:r>
          </w:p>
        </w:tc>
      </w:tr>
      <w:tr>
        <w:tc>
          <w:tcPr>
            <w:tcW w:type="dxa" w:w="2340"/>
            <w:tcMar>
              <w:top w:w="100" w:type="dxa"/>
              <w:bottom w:w="100" w:type="dxa"/>
              <w:left w:w="120" w:type="dxa"/>
              <w:right w:w="120" w:type="dxa"/>
            </w:tcMar>
          </w:tcPr>
          <w:p>
            <w:r>
              <w:rPr>
                <w:rFonts w:ascii="Arial" w:hAnsi="Arial"/>
                <w:sz w:val="19"/>
              </w:rPr>
              <w:t>Privacidad de Datos del Alumno</w:t>
            </w:r>
          </w:p>
        </w:tc>
        <w:tc>
          <w:tcPr>
            <w:tcW w:type="dxa" w:w="2340"/>
            <w:tcMar>
              <w:top w:w="100" w:type="dxa"/>
              <w:bottom w:w="100" w:type="dxa"/>
              <w:left w:w="120" w:type="dxa"/>
              <w:right w:w="120" w:type="dxa"/>
            </w:tcMar>
          </w:tcPr>
          <w:p>
            <w:r>
              <w:rPr>
                <w:rFonts w:ascii="Arial" w:hAnsi="Arial"/>
                <w:sz w:val="19"/>
              </w:rPr>
              <w:t>Los datos nunca salen del equipo</w:t>
            </w:r>
          </w:p>
        </w:tc>
        <w:tc>
          <w:tcPr>
            <w:tcW w:type="dxa" w:w="2340"/>
            <w:tcMar>
              <w:top w:w="100" w:type="dxa"/>
              <w:bottom w:w="100" w:type="dxa"/>
              <w:left w:w="120" w:type="dxa"/>
              <w:right w:w="120" w:type="dxa"/>
            </w:tcMar>
          </w:tcPr>
          <w:p>
            <w:r>
              <w:rPr>
                <w:rFonts w:ascii="Arial" w:hAnsi="Arial"/>
                <w:sz w:val="19"/>
              </w:rPr>
              <w:t>Se transmiten a servidores externos</w:t>
            </w:r>
          </w:p>
        </w:tc>
        <w:tc>
          <w:tcPr>
            <w:tcW w:type="dxa" w:w="2340"/>
            <w:tcMar>
              <w:top w:w="100" w:type="dxa"/>
              <w:bottom w:w="100" w:type="dxa"/>
              <w:left w:w="120" w:type="dxa"/>
              <w:right w:w="120" w:type="dxa"/>
            </w:tcMar>
          </w:tcPr>
          <w:p>
            <w:r>
              <w:rPr>
                <w:rFonts w:ascii="Arial" w:hAnsi="Arial"/>
                <w:sz w:val="19"/>
              </w:rPr>
              <w:t>Cumplimiento estricto de privacidad</w:t>
            </w:r>
          </w:p>
        </w:tc>
      </w:tr>
      <w:tr>
        <w:tc>
          <w:tcPr>
            <w:tcW w:type="dxa" w:w="2340"/>
            <w:tcMar>
              <w:top w:w="100" w:type="dxa"/>
              <w:bottom w:w="100" w:type="dxa"/>
              <w:left w:w="120" w:type="dxa"/>
              <w:right w:w="120" w:type="dxa"/>
            </w:tcMar>
          </w:tcPr>
          <w:p>
            <w:r>
              <w:rPr>
                <w:rFonts w:ascii="Arial" w:hAnsi="Arial"/>
                <w:sz w:val="19"/>
              </w:rPr>
              <w:t>Precisión en Datos TUPA y Horarios</w:t>
            </w:r>
          </w:p>
        </w:tc>
        <w:tc>
          <w:tcPr>
            <w:tcW w:type="dxa" w:w="2340"/>
            <w:tcMar>
              <w:top w:w="100" w:type="dxa"/>
              <w:bottom w:w="100" w:type="dxa"/>
              <w:left w:w="120" w:type="dxa"/>
              <w:right w:w="120" w:type="dxa"/>
            </w:tcMar>
          </w:tcPr>
          <w:p>
            <w:r>
              <w:rPr>
                <w:rFonts w:ascii="Arial" w:hAnsi="Arial"/>
                <w:sz w:val="19"/>
              </w:rPr>
              <w:t>100% fiel al reglamento</w:t>
            </w:r>
          </w:p>
        </w:tc>
        <w:tc>
          <w:tcPr>
            <w:tcW w:type="dxa" w:w="2340"/>
            <w:tcMar>
              <w:top w:w="100" w:type="dxa"/>
              <w:bottom w:w="100" w:type="dxa"/>
              <w:left w:w="120" w:type="dxa"/>
              <w:right w:w="120" w:type="dxa"/>
            </w:tcMar>
          </w:tcPr>
          <w:p>
            <w:r>
              <w:rPr>
                <w:rFonts w:ascii="Arial" w:hAnsi="Arial"/>
                <w:sz w:val="19"/>
              </w:rPr>
              <w:t>Susceptible a alucinaciones de IA</w:t>
            </w:r>
          </w:p>
        </w:tc>
        <w:tc>
          <w:tcPr>
            <w:tcW w:type="dxa" w:w="2340"/>
            <w:tcMar>
              <w:top w:w="100" w:type="dxa"/>
              <w:bottom w:w="100" w:type="dxa"/>
              <w:left w:w="120" w:type="dxa"/>
              <w:right w:w="120" w:type="dxa"/>
            </w:tcMar>
          </w:tcPr>
          <w:p>
            <w:r>
              <w:rPr>
                <w:rFonts w:ascii="Arial" w:hAnsi="Arial"/>
                <w:sz w:val="19"/>
              </w:rPr>
              <w:t>Veracidad institucional garantizada</w:t>
            </w:r>
          </w:p>
        </w:tc>
      </w:tr>
    </w:tbl>
    <w:p>
      <w:pPr>
        <w:keepNext/>
        <w:spacing w:before="360" w:after="120"/>
      </w:pPr>
      <w:r>
        <w:rPr>
          <w:rFonts w:ascii="Arial" w:hAnsi="Arial"/>
          <w:b/>
          <w:color w:val="13357B"/>
          <w:sz w:val="28"/>
        </w:rPr>
        <w:t>CAPÍTULO V: ANÁLISIS COSTO-BENEFICIO Y SOSTENIBILIDAD</w:t>
      </w:r>
    </w:p>
    <w:p>
      <w:pPr>
        <w:spacing w:after="120" w:line="300" w:lineRule="auto"/>
        <w:jc w:val="both"/>
      </w:pPr>
      <w:r>
        <w:rPr>
          <w:rFonts w:ascii="Arial" w:hAnsi="Arial"/>
          <w:i w:val="0"/>
          <w:color w:val="1E293B"/>
          <w:sz w:val="21"/>
        </w:rPr>
        <w:t>Para demostrar la viabilidad y rentabilidad del proyecto ante la Dirección del instituto, se elaboró un análisis de costos comparativo frente a una solución comercial típica adquirida mediante proveedores externos de software: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3357B"/>
            <w:tcMar>
              <w:top w:w="130" w:type="dxa"/>
              <w:bottom w:w="130" w:type="dxa"/>
              <w:left w:w="150" w:type="dxa"/>
              <w:right w:w="150" w:type="dxa"/>
            </w:tcMar>
          </w:tcPr>
          <w:p>
            <w:r>
              <w:rPr>
                <w:b/>
                <w:color w:val="FFFFFF"/>
              </w:rPr>
              <w:t>Rubro de Costo</w:t>
            </w:r>
          </w:p>
        </w:tc>
        <w:tc>
          <w:tcPr>
            <w:tcW w:type="dxa" w:w="3120"/>
            <w:shd w:fill="13357B"/>
            <w:tcMar>
              <w:top w:w="130" w:type="dxa"/>
              <w:bottom w:w="130" w:type="dxa"/>
              <w:left w:w="150" w:type="dxa"/>
              <w:right w:w="150" w:type="dxa"/>
            </w:tcMar>
          </w:tcPr>
          <w:p>
            <w:r>
              <w:rPr>
                <w:b/>
                <w:color w:val="FFFFFF"/>
              </w:rPr>
              <w:t>Solución Comercial Externa (Privada)</w:t>
            </w:r>
          </w:p>
        </w:tc>
        <w:tc>
          <w:tcPr>
            <w:tcW w:type="dxa" w:w="3120"/>
            <w:shd w:fill="13357B"/>
            <w:tcMar>
              <w:top w:w="130" w:type="dxa"/>
              <w:bottom w:w="130" w:type="dxa"/>
              <w:left w:w="150" w:type="dxa"/>
              <w:right w:w="150" w:type="dxa"/>
            </w:tcMar>
          </w:tcPr>
          <w:p>
            <w:r>
              <w:rPr>
                <w:b/>
                <w:color w:val="FFFFFF"/>
              </w:rPr>
              <w:t>Proyecto Desarrollado en APSTI (HercarIA)</w:t>
            </w:r>
          </w:p>
        </w:tc>
      </w:tr>
      <w:tr>
        <w:tc>
          <w:tcPr>
            <w:tcW w:type="dxa" w:w="3120"/>
            <w:tcMar>
              <w:top w:w="100" w:type="dxa"/>
              <w:bottom w:w="100" w:type="dxa"/>
              <w:left w:w="120" w:type="dxa"/>
              <w:right w:w="120" w:type="dxa"/>
            </w:tcMar>
          </w:tcPr>
          <w:p>
            <w:r>
              <w:rPr>
                <w:rFonts w:ascii="Arial" w:hAnsi="Arial"/>
                <w:sz w:val="19"/>
              </w:rPr>
              <w:t>Costo de Licencia / Desarrollo Inicial</w:t>
            </w:r>
          </w:p>
        </w:tc>
        <w:tc>
          <w:tcPr>
            <w:tcW w:type="dxa" w:w="3120"/>
            <w:tcMar>
              <w:top w:w="100" w:type="dxa"/>
              <w:bottom w:w="100" w:type="dxa"/>
              <w:left w:w="120" w:type="dxa"/>
              <w:right w:w="120" w:type="dxa"/>
            </w:tcMar>
          </w:tcPr>
          <w:p>
            <w:r>
              <w:rPr>
                <w:rFonts w:ascii="Arial" w:hAnsi="Arial"/>
                <w:sz w:val="19"/>
              </w:rPr>
              <w:t>S/ 6,500.00 a S/ 10,000.00</w:t>
            </w:r>
          </w:p>
        </w:tc>
        <w:tc>
          <w:tcPr>
            <w:tcW w:type="dxa" w:w="3120"/>
            <w:tcMar>
              <w:top w:w="100" w:type="dxa"/>
              <w:bottom w:w="100" w:type="dxa"/>
              <w:left w:w="120" w:type="dxa"/>
              <w:right w:w="120" w:type="dxa"/>
            </w:tcMar>
          </w:tcPr>
          <w:p>
            <w:r>
              <w:rPr>
                <w:rFonts w:ascii="Arial" w:hAnsi="Arial"/>
                <w:sz w:val="19"/>
              </w:rPr>
              <w:t>S/ 0.00 (Proyecto de aplicación profesional de estudiantes)</w:t>
            </w:r>
          </w:p>
        </w:tc>
      </w:tr>
      <w:tr>
        <w:tc>
          <w:tcPr>
            <w:tcW w:type="dxa" w:w="3120"/>
            <w:tcMar>
              <w:top w:w="100" w:type="dxa"/>
              <w:bottom w:w="100" w:type="dxa"/>
              <w:left w:w="120" w:type="dxa"/>
              <w:right w:w="120" w:type="dxa"/>
            </w:tcMar>
          </w:tcPr>
          <w:p>
            <w:r>
              <w:rPr>
                <w:rFonts w:ascii="Arial" w:hAnsi="Arial"/>
                <w:sz w:val="19"/>
              </w:rPr>
              <w:t>Alojamiento en Servidores y CDN</w:t>
            </w:r>
          </w:p>
        </w:tc>
        <w:tc>
          <w:tcPr>
            <w:tcW w:type="dxa" w:w="3120"/>
            <w:tcMar>
              <w:top w:w="100" w:type="dxa"/>
              <w:bottom w:w="100" w:type="dxa"/>
              <w:left w:w="120" w:type="dxa"/>
              <w:right w:w="120" w:type="dxa"/>
            </w:tcMar>
          </w:tcPr>
          <w:p>
            <w:r>
              <w:rPr>
                <w:rFonts w:ascii="Arial" w:hAnsi="Arial"/>
                <w:sz w:val="19"/>
              </w:rPr>
              <w:t>S/ 120.00 mensuales (S/ 1,440.00 al año)</w:t>
            </w:r>
          </w:p>
        </w:tc>
        <w:tc>
          <w:tcPr>
            <w:tcW w:type="dxa" w:w="3120"/>
            <w:tcMar>
              <w:top w:w="100" w:type="dxa"/>
              <w:bottom w:w="100" w:type="dxa"/>
              <w:left w:w="120" w:type="dxa"/>
              <w:right w:w="120" w:type="dxa"/>
            </w:tcMar>
          </w:tcPr>
          <w:p>
            <w:r>
              <w:rPr>
                <w:rFonts w:ascii="Arial" w:hAnsi="Arial"/>
                <w:sz w:val="19"/>
              </w:rPr>
              <w:t>S/ 0.00 (Despliegue gratuito en GitHub Pages institucional)</w:t>
            </w:r>
          </w:p>
        </w:tc>
      </w:tr>
      <w:tr>
        <w:tc>
          <w:tcPr>
            <w:tcW w:type="dxa" w:w="3120"/>
            <w:tcMar>
              <w:top w:w="100" w:type="dxa"/>
              <w:bottom w:w="100" w:type="dxa"/>
              <w:left w:w="120" w:type="dxa"/>
              <w:right w:w="120" w:type="dxa"/>
            </w:tcMar>
          </w:tcPr>
          <w:p>
            <w:r>
              <w:rPr>
                <w:rFonts w:ascii="Arial" w:hAnsi="Arial"/>
                <w:sz w:val="19"/>
              </w:rPr>
              <w:t>Consumo de Tokens de IA (APIs)</w:t>
            </w:r>
          </w:p>
        </w:tc>
        <w:tc>
          <w:tcPr>
            <w:tcW w:type="dxa" w:w="3120"/>
            <w:tcMar>
              <w:top w:w="100" w:type="dxa"/>
              <w:bottom w:w="100" w:type="dxa"/>
              <w:left w:w="120" w:type="dxa"/>
              <w:right w:w="120" w:type="dxa"/>
            </w:tcMar>
          </w:tcPr>
          <w:p>
            <w:r>
              <w:rPr>
                <w:rFonts w:ascii="Arial" w:hAnsi="Arial"/>
                <w:sz w:val="19"/>
              </w:rPr>
              <w:t>S/ 180.00 mensuales (S/ 2,160.00 al año)</w:t>
            </w:r>
          </w:p>
        </w:tc>
        <w:tc>
          <w:tcPr>
            <w:tcW w:type="dxa" w:w="3120"/>
            <w:tcMar>
              <w:top w:w="100" w:type="dxa"/>
              <w:bottom w:w="100" w:type="dxa"/>
              <w:left w:w="120" w:type="dxa"/>
              <w:right w:w="120" w:type="dxa"/>
            </w:tcMar>
          </w:tcPr>
          <w:p>
            <w:r>
              <w:rPr>
                <w:rFonts w:ascii="Arial" w:hAnsi="Arial"/>
                <w:sz w:val="19"/>
              </w:rPr>
              <w:t>S/ 0.00 (Red Neuronal Local client-side sin consumo de tokens)</w:t>
            </w:r>
          </w:p>
        </w:tc>
      </w:tr>
      <w:tr>
        <w:tc>
          <w:tcPr>
            <w:tcW w:type="dxa" w:w="3120"/>
            <w:tcMar>
              <w:top w:w="100" w:type="dxa"/>
              <w:bottom w:w="100" w:type="dxa"/>
              <w:left w:w="120" w:type="dxa"/>
              <w:right w:w="120" w:type="dxa"/>
            </w:tcMar>
          </w:tcPr>
          <w:p>
            <w:r>
              <w:rPr>
                <w:rFonts w:ascii="Arial" w:hAnsi="Arial"/>
                <w:sz w:val="19"/>
              </w:rPr>
              <w:t>Soporte Técnico y Actualizaciones</w:t>
            </w:r>
          </w:p>
        </w:tc>
        <w:tc>
          <w:tcPr>
            <w:tcW w:type="dxa" w:w="3120"/>
            <w:tcMar>
              <w:top w:w="100" w:type="dxa"/>
              <w:bottom w:w="100" w:type="dxa"/>
              <w:left w:w="120" w:type="dxa"/>
              <w:right w:w="120" w:type="dxa"/>
            </w:tcMar>
          </w:tcPr>
          <w:p>
            <w:r>
              <w:rPr>
                <w:rFonts w:ascii="Arial" w:hAnsi="Arial"/>
                <w:sz w:val="19"/>
              </w:rPr>
              <w:t>S/ 500.00 anuales por mantenimiento</w:t>
            </w:r>
          </w:p>
        </w:tc>
        <w:tc>
          <w:tcPr>
            <w:tcW w:type="dxa" w:w="3120"/>
            <w:tcMar>
              <w:top w:w="100" w:type="dxa"/>
              <w:bottom w:w="100" w:type="dxa"/>
              <w:left w:w="120" w:type="dxa"/>
              <w:right w:w="120" w:type="dxa"/>
            </w:tcMar>
          </w:tcPr>
          <w:p>
            <w:r>
              <w:rPr>
                <w:rFonts w:ascii="Arial" w:hAnsi="Arial"/>
                <w:sz w:val="19"/>
              </w:rPr>
              <w:t>S/ 0.00 (Mantenido por alumnos y docentes de la carrera APSTI)</w:t>
            </w:r>
          </w:p>
        </w:tc>
      </w:tr>
      <w:tr>
        <w:tc>
          <w:tcPr>
            <w:tcW w:type="dxa" w:w="3120"/>
            <w:tcMar>
              <w:top w:w="100" w:type="dxa"/>
              <w:bottom w:w="100" w:type="dxa"/>
              <w:left w:w="120" w:type="dxa"/>
              <w:right w:w="120" w:type="dxa"/>
            </w:tcMar>
          </w:tcPr>
          <w:p>
            <w:r>
              <w:rPr>
                <w:rFonts w:ascii="Arial" w:hAnsi="Arial"/>
                <w:sz w:val="19"/>
              </w:rPr>
              <w:t>Gasto Total Primer Año</w:t>
            </w:r>
          </w:p>
        </w:tc>
        <w:tc>
          <w:tcPr>
            <w:tcW w:type="dxa" w:w="3120"/>
            <w:tcMar>
              <w:top w:w="100" w:type="dxa"/>
              <w:bottom w:w="100" w:type="dxa"/>
              <w:left w:w="120" w:type="dxa"/>
              <w:right w:w="120" w:type="dxa"/>
            </w:tcMar>
          </w:tcPr>
          <w:p>
            <w:r>
              <w:rPr>
                <w:rFonts w:ascii="Arial" w:hAnsi="Arial"/>
                <w:sz w:val="19"/>
              </w:rPr>
              <w:t>S/ 10,100.00 a S/ 14,100.00 Soles</w:t>
            </w:r>
          </w:p>
        </w:tc>
        <w:tc>
          <w:tcPr>
            <w:tcW w:type="dxa" w:w="3120"/>
            <w:tcMar>
              <w:top w:w="100" w:type="dxa"/>
              <w:bottom w:w="100" w:type="dxa"/>
              <w:left w:w="120" w:type="dxa"/>
              <w:right w:w="120" w:type="dxa"/>
            </w:tcMar>
          </w:tcPr>
          <w:p>
            <w:r>
              <w:rPr>
                <w:rFonts w:ascii="Arial" w:hAnsi="Arial"/>
                <w:sz w:val="19"/>
              </w:rPr>
              <w:t>S/ 0.00 Soles (Ahorro del 100% para el instituto)</w:t>
            </w:r>
          </w:p>
        </w:tc>
      </w:tr>
    </w:tbl>
    <w:p>
      <w:pPr>
        <w:spacing w:after="120" w:line="300" w:lineRule="auto"/>
        <w:jc w:val="both"/>
      </w:pPr>
      <w:r>
        <w:rPr>
          <w:rFonts w:ascii="Arial" w:hAnsi="Arial"/>
          <w:i w:val="0"/>
          <w:color w:val="1E293B"/>
          <w:sz w:val="21"/>
        </w:rPr>
        <w:t>Como se evidencia en la tabla, el proyecto genera un ahorro directo superior a los S/ 10,000 soles durante el primer año para el I.E.S.T.P. "Hermanos Cárcamo", demostrando que la formación técnica práctica de APSTI produce soluciones tangibles y de alto valor sin desfalcar el presupuesto del Estado.</w:t>
      </w:r>
    </w:p>
    <w:p>
      <w:pPr>
        <w:keepNext/>
        <w:spacing w:before="360" w:after="120"/>
      </w:pPr>
      <w:r>
        <w:rPr>
          <w:rFonts w:ascii="Arial" w:hAnsi="Arial"/>
          <w:b/>
          <w:color w:val="13357B"/>
          <w:sz w:val="28"/>
        </w:rPr>
        <w:t>CAPÍTULO VI: CONCLUSIONES Y RECOMENDACIONES</w:t>
      </w:r>
    </w:p>
    <w:p>
      <w:pPr>
        <w:keepNext/>
        <w:spacing w:before="260" w:after="80"/>
      </w:pPr>
      <w:r>
        <w:rPr>
          <w:rFonts w:ascii="Arial" w:hAnsi="Arial"/>
          <w:b/>
          <w:color w:val="2563EB"/>
          <w:sz w:val="24"/>
        </w:rPr>
        <w:t>6.1. Conclusiones</w:t>
      </w:r>
    </w:p>
    <w:p>
      <w:pPr>
        <w:pStyle w:val="ListBullet"/>
        <w:spacing w:after="60" w:line="288" w:lineRule="auto"/>
        <w:jc w:val="both"/>
      </w:pPr>
      <w:r>
        <w:rPr>
          <w:rFonts w:ascii="Arial" w:hAnsi="Arial"/>
          <w:b/>
          <w:color w:val="13357B"/>
          <w:sz w:val="21"/>
        </w:rPr>
        <w:t xml:space="preserve">Primera: </w:t>
      </w:r>
      <w:r>
        <w:rPr>
          <w:rFonts w:ascii="Arial" w:hAnsi="Arial"/>
          <w:color w:val="1E293B"/>
          <w:sz w:val="21"/>
        </w:rPr>
        <w:t>Se logró desarrollar e implementar con éxito el Asistente Virtual Inteligente "HercarIA", integrando una Red Neuronal Artificial Perceptrón Multicapa (MLP) ejecutada 100% en el navegador web del usuario, demostrando que es viable desplegar inteligencia artificial de alto rendimiento en la educación superior pública sin incurrir en costos de servidores ni suscripciones extranjeras.</w:t>
      </w:r>
    </w:p>
    <w:p>
      <w:pPr>
        <w:pStyle w:val="ListBullet"/>
        <w:spacing w:after="60" w:line="288" w:lineRule="auto"/>
        <w:jc w:val="both"/>
      </w:pPr>
      <w:r>
        <w:rPr>
          <w:rFonts w:ascii="Arial" w:hAnsi="Arial"/>
          <w:b/>
          <w:color w:val="13357B"/>
          <w:sz w:val="21"/>
        </w:rPr>
        <w:t xml:space="preserve">Segunda: </w:t>
      </w:r>
      <w:r>
        <w:rPr>
          <w:rFonts w:ascii="Arial" w:hAnsi="Arial"/>
          <w:color w:val="1E293B"/>
          <w:sz w:val="21"/>
        </w:rPr>
        <w:t>El Centro de Herramientas Flotantes (Hub APSTI) resolvió de forma práctica la desinformación de los postulantes paiteños, permitiendo que el 96.8% de los evaluados comprenda con exactitud los conceptos de pago para el Banco de la Nación mediante el Simulador TUPA 2026, reafirmando el principio constitucional de gratuidad de la enseñanza técnica estatal.</w:t>
      </w:r>
    </w:p>
    <w:p>
      <w:pPr>
        <w:pStyle w:val="ListBullet"/>
        <w:spacing w:after="60" w:line="288" w:lineRule="auto"/>
        <w:jc w:val="both"/>
      </w:pPr>
      <w:r>
        <w:rPr>
          <w:rFonts w:ascii="Arial" w:hAnsi="Arial"/>
          <w:b/>
          <w:color w:val="13357B"/>
          <w:sz w:val="21"/>
        </w:rPr>
        <w:t xml:space="preserve">Tercera: </w:t>
      </w:r>
      <w:r>
        <w:rPr>
          <w:rFonts w:ascii="Arial" w:hAnsi="Arial"/>
          <w:color w:val="1E293B"/>
          <w:sz w:val="21"/>
        </w:rPr>
        <w:t>La sustitución de las ventanas emergentes nativas del navegador (confirm y alert) por un sistema de diálogos flotantes ergonómicos (#modal-custom-dialog) dotó al sistema de una experiencia de usuario limpia, humana y profesional, eliminando fricciones visuales y garantizando accesibilidad total en dispositivos móviles y de escritorio.</w:t>
      </w:r>
    </w:p>
    <w:p>
      <w:pPr>
        <w:pStyle w:val="ListBullet"/>
        <w:spacing w:after="60" w:line="288" w:lineRule="auto"/>
        <w:jc w:val="both"/>
      </w:pPr>
      <w:r>
        <w:rPr>
          <w:rFonts w:ascii="Arial" w:hAnsi="Arial"/>
          <w:b/>
          <w:color w:val="13357B"/>
          <w:sz w:val="21"/>
        </w:rPr>
        <w:t xml:space="preserve">Cuarta: </w:t>
      </w:r>
      <w:r>
        <w:rPr>
          <w:rFonts w:ascii="Arial" w:hAnsi="Arial"/>
          <w:color w:val="1E293B"/>
          <w:sz w:val="21"/>
        </w:rPr>
        <w:t>El Panel de Administración (admin.html) dota a la institución de soberanía tecnológica y sostenibilidad a largo plazo, permitiendo que el personal administrativo registre nuevas respuestas institucionales y entrene el sistema sin depender de programadores externos.</w:t>
      </w:r>
    </w:p>
    <w:p>
      <w:pPr>
        <w:pStyle w:val="ListBullet"/>
        <w:spacing w:after="60" w:line="288" w:lineRule="auto"/>
        <w:jc w:val="both"/>
      </w:pPr>
      <w:r>
        <w:rPr>
          <w:rFonts w:ascii="Arial" w:hAnsi="Arial"/>
          <w:b/>
          <w:color w:val="13357B"/>
          <w:sz w:val="21"/>
        </w:rPr>
        <w:t xml:space="preserve">Quinta: </w:t>
      </w:r>
      <w:r>
        <w:rPr>
          <w:rFonts w:ascii="Arial" w:hAnsi="Arial"/>
          <w:color w:val="1E293B"/>
          <w:sz w:val="21"/>
        </w:rPr>
        <w:t>Las pruebas de campo con 70 participantes reales evidenciaron una tasa de preferencia del 94.3% hacia el chatbot frente a la atención presencial tradicional en ventanilla, logrando reducir la saturación física de Secretaría Académica en un estimado del 65%.</w:t>
      </w:r>
    </w:p>
    <w:p>
      <w:pPr>
        <w:keepNext/>
        <w:spacing w:before="260" w:after="80"/>
      </w:pPr>
      <w:r>
        <w:rPr>
          <w:rFonts w:ascii="Arial" w:hAnsi="Arial"/>
          <w:b/>
          <w:color w:val="2563EB"/>
          <w:sz w:val="24"/>
        </w:rPr>
        <w:t>6.2. Recomendaciones</w:t>
      </w:r>
    </w:p>
    <w:p>
      <w:pPr>
        <w:pStyle w:val="ListBullet"/>
        <w:spacing w:after="60" w:line="288" w:lineRule="auto"/>
        <w:jc w:val="both"/>
      </w:pPr>
      <w:r>
        <w:rPr>
          <w:rFonts w:ascii="Arial" w:hAnsi="Arial"/>
          <w:b/>
          <w:color w:val="13357B"/>
          <w:sz w:val="21"/>
        </w:rPr>
        <w:t xml:space="preserve">A la Dirección General del I.E.S.T.P. "Hermanos Cárcamo": </w:t>
      </w:r>
      <w:r>
        <w:rPr>
          <w:rFonts w:ascii="Arial" w:hAnsi="Arial"/>
          <w:color w:val="1E293B"/>
          <w:sz w:val="21"/>
        </w:rPr>
        <w:t>Adoptar formalmente a HercarIA como canal de orientación oficial en la página web institucional (https://ieshercar.edu.pe/) y en las redes sociales del instituto para las campañas de admisión 2026 y 2027.</w:t>
      </w:r>
    </w:p>
    <w:p>
      <w:pPr>
        <w:pStyle w:val="ListBullet"/>
        <w:spacing w:after="60" w:line="288" w:lineRule="auto"/>
        <w:jc w:val="both"/>
      </w:pPr>
      <w:r>
        <w:rPr>
          <w:rFonts w:ascii="Arial" w:hAnsi="Arial"/>
          <w:b/>
          <w:color w:val="13357B"/>
          <w:sz w:val="21"/>
        </w:rPr>
        <w:t xml:space="preserve">A la Jefatura de Unidad Académica y Secretaría: </w:t>
      </w:r>
      <w:r>
        <w:rPr>
          <w:rFonts w:ascii="Arial" w:hAnsi="Arial"/>
          <w:color w:val="1E293B"/>
          <w:sz w:val="21"/>
        </w:rPr>
        <w:t>Monitorear quincenalmente la bandeja de consultas sin resolver en el Panel Admin (admin.html), asegurando que las nuevas resoluciones directorales o cambios de fechas sean incorporados de forma oportuna en la base de conocimiento.</w:t>
      </w:r>
    </w:p>
    <w:p>
      <w:pPr>
        <w:pStyle w:val="ListBullet"/>
        <w:spacing w:after="60" w:line="288" w:lineRule="auto"/>
        <w:jc w:val="both"/>
      </w:pPr>
      <w:r>
        <w:rPr>
          <w:rFonts w:ascii="Arial" w:hAnsi="Arial"/>
          <w:b/>
          <w:color w:val="13357B"/>
          <w:sz w:val="21"/>
        </w:rPr>
        <w:t xml:space="preserve">A los futuros estudiantes de la carrera de APSTI: </w:t>
      </w:r>
      <w:r>
        <w:rPr>
          <w:rFonts w:ascii="Arial" w:hAnsi="Arial"/>
          <w:color w:val="1E293B"/>
          <w:sz w:val="21"/>
        </w:rPr>
        <w:t>Continuar la evolución de este proyecto en los próximos periodos lectivos, implementando módulos de consulta de notas con autenticación de usuario, integración con canales de WhatsApp mediante Webhooks y módulo de seguimiento de prácticas preprofesionales (EFSRT).</w:t>
      </w:r>
    </w:p>
    <w:p>
      <w:pPr>
        <w:keepNext/>
        <w:spacing w:before="360" w:after="120"/>
      </w:pPr>
      <w:r>
        <w:rPr>
          <w:rFonts w:ascii="Arial" w:hAnsi="Arial"/>
          <w:b/>
          <w:color w:val="13357B"/>
          <w:sz w:val="28"/>
        </w:rPr>
        <w:t>REFERENCIAS BIBLIOGRÁFICAS Y NORMATIVAS</w:t>
      </w:r>
    </w:p>
    <w:p>
      <w:pPr>
        <w:spacing w:after="120" w:line="300" w:lineRule="auto"/>
        <w:jc w:val="both"/>
      </w:pPr>
      <w:r>
        <w:rPr>
          <w:rFonts w:ascii="Arial" w:hAnsi="Arial"/>
          <w:i w:val="0"/>
          <w:color w:val="1E293B"/>
          <w:sz w:val="21"/>
        </w:rPr>
        <w:t>1. Congreso de la República del Perú. (2016). Ley N° 30512: Ley de Institutos y Escuelas de Educación Superior y de la Carrera Pública de sus Docentes. Diario Oficial El Peruano.</w:t>
      </w:r>
    </w:p>
    <w:p>
      <w:pPr>
        <w:spacing w:after="120" w:line="300" w:lineRule="auto"/>
        <w:jc w:val="both"/>
      </w:pPr>
      <w:r>
        <w:rPr>
          <w:rFonts w:ascii="Arial" w:hAnsi="Arial"/>
          <w:i w:val="0"/>
          <w:color w:val="1E293B"/>
          <w:sz w:val="21"/>
        </w:rPr>
        <w:t>2. Ministerio de Educación del Perú [MINEDU]. (2021). Resolución Viceministerial N° 177-2021-MINEDU: Lineamientos Académicos Generales para los Institutos de Educación Superior Tecnológicos.</w:t>
      </w:r>
    </w:p>
    <w:p>
      <w:pPr>
        <w:spacing w:after="120" w:line="300" w:lineRule="auto"/>
        <w:jc w:val="both"/>
      </w:pPr>
      <w:r>
        <w:rPr>
          <w:rFonts w:ascii="Arial" w:hAnsi="Arial"/>
          <w:i w:val="0"/>
          <w:color w:val="1E293B"/>
          <w:sz w:val="21"/>
        </w:rPr>
        <w:t>3. I.E.S.T.P. "Hermanos Cárcamo" de Paita. (2026). Texto Único de Procedimientos Administrativos (TUPA 2026) y Reglamento Institucional Interno. Paita, Piura.</w:t>
      </w:r>
    </w:p>
    <w:p>
      <w:pPr>
        <w:spacing w:after="120" w:line="300" w:lineRule="auto"/>
        <w:jc w:val="both"/>
      </w:pPr>
      <w:r>
        <w:rPr>
          <w:rFonts w:ascii="Arial" w:hAnsi="Arial"/>
          <w:i w:val="0"/>
          <w:color w:val="1E293B"/>
          <w:sz w:val="21"/>
        </w:rPr>
        <w:t>4. Goodfellow, I., Bengio, Y., &amp; Courville, A. (2016). Deep Learning. MIT Press. Cambridge, Massachusetts.</w:t>
      </w:r>
    </w:p>
    <w:p>
      <w:pPr>
        <w:spacing w:after="120" w:line="300" w:lineRule="auto"/>
        <w:jc w:val="both"/>
      </w:pPr>
      <w:r>
        <w:rPr>
          <w:rFonts w:ascii="Arial" w:hAnsi="Arial"/>
          <w:i w:val="0"/>
          <w:color w:val="1E293B"/>
          <w:sz w:val="21"/>
        </w:rPr>
        <w:t>5. Mozilla Developer Network [MDN]. (2025). Web APIs Reference: SpeechSynthesis, Web Speech Recognition and Fetch API. Mozilla Foundation.</w:t>
      </w:r>
    </w:p>
    <w:p>
      <w:pPr>
        <w:spacing w:after="120" w:line="300" w:lineRule="auto"/>
        <w:jc w:val="both"/>
      </w:pPr>
      <w:r>
        <w:rPr>
          <w:rFonts w:ascii="Arial" w:hAnsi="Arial"/>
          <w:i w:val="0"/>
          <w:color w:val="1E293B"/>
          <w:sz w:val="21"/>
        </w:rPr>
        <w:t>6. World Wide Web Consortium [W3C]. (2024). Web Content Accessibility Guidelines (WCAG) 2.2. W3C Recommendation.</w:t>
      </w:r>
    </w:p>
    <w:p>
      <w:pPr>
        <w:spacing w:after="120" w:line="300" w:lineRule="auto"/>
        <w:jc w:val="both"/>
      </w:pPr>
      <w:r>
        <w:rPr>
          <w:rFonts w:ascii="Arial" w:hAnsi="Arial"/>
          <w:i w:val="0"/>
          <w:color w:val="1E293B"/>
          <w:sz w:val="21"/>
        </w:rPr>
        <w:t>7. Russell, S., &amp; Norvig, P. (2020). Artificial Intelligence: A Modern Approach (4th ed.). Pearson Education.</w:t>
      </w:r>
    </w:p>
    <w:p>
      <w:pPr>
        <w:keepNext/>
        <w:spacing w:before="360" w:after="120"/>
      </w:pPr>
      <w:r>
        <w:rPr>
          <w:rFonts w:ascii="Arial" w:hAnsi="Arial"/>
          <w:b/>
          <w:color w:val="13357B"/>
          <w:sz w:val="28"/>
        </w:rPr>
        <w:t>ANEXO: ENLACES OFICIALES DEL PROYECTO EN VIVO</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3357B"/>
            <w:tcMar>
              <w:top w:w="130" w:type="dxa"/>
              <w:bottom w:w="130" w:type="dxa"/>
              <w:left w:w="150" w:type="dxa"/>
              <w:right w:w="150" w:type="dxa"/>
            </w:tcMar>
          </w:tcPr>
          <w:p>
            <w:r>
              <w:rPr>
                <w:b/>
                <w:color w:val="FFFFFF"/>
              </w:rPr>
              <w:t>Plataforma / Módulo</w:t>
            </w:r>
          </w:p>
        </w:tc>
        <w:tc>
          <w:tcPr>
            <w:tcW w:type="dxa" w:w="3120"/>
            <w:shd w:fill="13357B"/>
            <w:tcMar>
              <w:top w:w="130" w:type="dxa"/>
              <w:bottom w:w="130" w:type="dxa"/>
              <w:left w:w="150" w:type="dxa"/>
              <w:right w:w="150" w:type="dxa"/>
            </w:tcMar>
          </w:tcPr>
          <w:p>
            <w:r>
              <w:rPr>
                <w:b/>
                <w:color w:val="FFFFFF"/>
              </w:rPr>
              <w:t>Dirección Web Oficial (URL)</w:t>
            </w:r>
          </w:p>
        </w:tc>
        <w:tc>
          <w:tcPr>
            <w:tcW w:type="dxa" w:w="3120"/>
            <w:shd w:fill="13357B"/>
            <w:tcMar>
              <w:top w:w="130" w:type="dxa"/>
              <w:bottom w:w="130" w:type="dxa"/>
              <w:left w:w="150" w:type="dxa"/>
              <w:right w:w="150" w:type="dxa"/>
            </w:tcMar>
          </w:tcPr>
          <w:p>
            <w:r>
              <w:rPr>
                <w:b/>
                <w:color w:val="FFFFFF"/>
              </w:rPr>
              <w:t>Descripción y Propósito</w:t>
            </w:r>
          </w:p>
        </w:tc>
      </w:tr>
      <w:tr>
        <w:tc>
          <w:tcPr>
            <w:tcW w:type="dxa" w:w="3120"/>
            <w:tcMar>
              <w:top w:w="100" w:type="dxa"/>
              <w:bottom w:w="100" w:type="dxa"/>
              <w:left w:w="120" w:type="dxa"/>
              <w:right w:w="120" w:type="dxa"/>
            </w:tcMar>
          </w:tcPr>
          <w:p>
            <w:r>
              <w:rPr>
                <w:rFonts w:ascii="Arial" w:hAnsi="Arial"/>
                <w:sz w:val="19"/>
              </w:rPr>
              <w:t>Chatbot HercarIA en Vivo</w:t>
            </w:r>
          </w:p>
        </w:tc>
        <w:tc>
          <w:tcPr>
            <w:tcW w:type="dxa" w:w="3120"/>
            <w:tcMar>
              <w:top w:w="100" w:type="dxa"/>
              <w:bottom w:w="100" w:type="dxa"/>
              <w:left w:w="120" w:type="dxa"/>
              <w:right w:w="120" w:type="dxa"/>
            </w:tcMar>
          </w:tcPr>
          <w:p>
            <w:r>
              <w:rPr>
                <w:rFonts w:ascii="Arial" w:hAnsi="Arial"/>
                <w:sz w:val="19"/>
              </w:rPr>
              <w:t>https://gmph2007.github.io/HercarBOT/</w:t>
            </w:r>
          </w:p>
        </w:tc>
        <w:tc>
          <w:tcPr>
            <w:tcW w:type="dxa" w:w="3120"/>
            <w:tcMar>
              <w:top w:w="100" w:type="dxa"/>
              <w:bottom w:w="100" w:type="dxa"/>
              <w:left w:w="120" w:type="dxa"/>
              <w:right w:w="120" w:type="dxa"/>
            </w:tcMar>
          </w:tcPr>
          <w:p>
            <w:r>
              <w:rPr>
                <w:rFonts w:ascii="Arial" w:hAnsi="Arial"/>
                <w:sz w:val="19"/>
              </w:rPr>
              <w:t>Acceso público mundial 24/7 en GitHub Pages sin necesidad de instalación.</w:t>
            </w:r>
          </w:p>
        </w:tc>
      </w:tr>
      <w:tr>
        <w:tc>
          <w:tcPr>
            <w:tcW w:type="dxa" w:w="3120"/>
            <w:tcMar>
              <w:top w:w="100" w:type="dxa"/>
              <w:bottom w:w="100" w:type="dxa"/>
              <w:left w:w="120" w:type="dxa"/>
              <w:right w:w="120" w:type="dxa"/>
            </w:tcMar>
          </w:tcPr>
          <w:p>
            <w:r>
              <w:rPr>
                <w:rFonts w:ascii="Arial" w:hAnsi="Arial"/>
                <w:sz w:val="19"/>
              </w:rPr>
              <w:t>Panel de Administración y Control</w:t>
            </w:r>
          </w:p>
        </w:tc>
        <w:tc>
          <w:tcPr>
            <w:tcW w:type="dxa" w:w="3120"/>
            <w:tcMar>
              <w:top w:w="100" w:type="dxa"/>
              <w:bottom w:w="100" w:type="dxa"/>
              <w:left w:w="120" w:type="dxa"/>
              <w:right w:w="120" w:type="dxa"/>
            </w:tcMar>
          </w:tcPr>
          <w:p>
            <w:r>
              <w:rPr>
                <w:rFonts w:ascii="Arial" w:hAnsi="Arial"/>
                <w:sz w:val="19"/>
              </w:rPr>
              <w:t>https://gmph2007.github.io/HercarBOT/admin.html</w:t>
            </w:r>
          </w:p>
        </w:tc>
        <w:tc>
          <w:tcPr>
            <w:tcW w:type="dxa" w:w="3120"/>
            <w:tcMar>
              <w:top w:w="100" w:type="dxa"/>
              <w:bottom w:w="100" w:type="dxa"/>
              <w:left w:w="120" w:type="dxa"/>
              <w:right w:w="120" w:type="dxa"/>
            </w:tcMar>
          </w:tcPr>
          <w:p>
            <w:r>
              <w:rPr>
                <w:rFonts w:ascii="Arial" w:hAnsi="Arial"/>
                <w:sz w:val="19"/>
              </w:rPr>
              <w:t>Acceso seguro para el personal (Usuario: admin@ieshercar.edu.pe / Clave: hercar2026).</w:t>
            </w:r>
          </w:p>
        </w:tc>
      </w:tr>
      <w:tr>
        <w:tc>
          <w:tcPr>
            <w:tcW w:type="dxa" w:w="3120"/>
            <w:tcMar>
              <w:top w:w="100" w:type="dxa"/>
              <w:bottom w:w="100" w:type="dxa"/>
              <w:left w:w="120" w:type="dxa"/>
              <w:right w:w="120" w:type="dxa"/>
            </w:tcMar>
          </w:tcPr>
          <w:p>
            <w:r>
              <w:rPr>
                <w:rFonts w:ascii="Arial" w:hAnsi="Arial"/>
                <w:sz w:val="19"/>
              </w:rPr>
              <w:t>Repositorio Oficial de Código Fuente</w:t>
            </w:r>
          </w:p>
        </w:tc>
        <w:tc>
          <w:tcPr>
            <w:tcW w:type="dxa" w:w="3120"/>
            <w:tcMar>
              <w:top w:w="100" w:type="dxa"/>
              <w:bottom w:w="100" w:type="dxa"/>
              <w:left w:w="120" w:type="dxa"/>
              <w:right w:w="120" w:type="dxa"/>
            </w:tcMar>
          </w:tcPr>
          <w:p>
            <w:r>
              <w:rPr>
                <w:rFonts w:ascii="Arial" w:hAnsi="Arial"/>
                <w:sz w:val="19"/>
              </w:rPr>
              <w:t>https://github.com/GMPH2007/HercarBOT</w:t>
            </w:r>
          </w:p>
        </w:tc>
        <w:tc>
          <w:tcPr>
            <w:tcW w:type="dxa" w:w="3120"/>
            <w:tcMar>
              <w:top w:w="100" w:type="dxa"/>
              <w:bottom w:w="100" w:type="dxa"/>
              <w:left w:w="120" w:type="dxa"/>
              <w:right w:w="120" w:type="dxa"/>
            </w:tcMar>
          </w:tcPr>
          <w:p>
            <w:r>
              <w:rPr>
                <w:rFonts w:ascii="Arial" w:hAnsi="Arial"/>
                <w:sz w:val="19"/>
              </w:rPr>
              <w:t>Repositorio GitHub con historial de versiones, código fuente abierto e informe técnico.</w:t>
            </w:r>
          </w:p>
        </w:tc>
      </w:tr>
      <w:tr>
        <w:tc>
          <w:tcPr>
            <w:tcW w:type="dxa" w:w="3120"/>
            <w:tcMar>
              <w:top w:w="100" w:type="dxa"/>
              <w:bottom w:w="100" w:type="dxa"/>
              <w:left w:w="120" w:type="dxa"/>
              <w:right w:w="120" w:type="dxa"/>
            </w:tcMar>
          </w:tcPr>
          <w:p>
            <w:r>
              <w:rPr>
                <w:rFonts w:ascii="Arial" w:hAnsi="Arial"/>
                <w:sz w:val="19"/>
              </w:rPr>
              <w:t>Portal Web Oficial del Instituto</w:t>
            </w:r>
          </w:p>
        </w:tc>
        <w:tc>
          <w:tcPr>
            <w:tcW w:type="dxa" w:w="3120"/>
            <w:tcMar>
              <w:top w:w="100" w:type="dxa"/>
              <w:bottom w:w="100" w:type="dxa"/>
              <w:left w:w="120" w:type="dxa"/>
              <w:right w:w="120" w:type="dxa"/>
            </w:tcMar>
          </w:tcPr>
          <w:p>
            <w:r>
              <w:rPr>
                <w:rFonts w:ascii="Arial" w:hAnsi="Arial"/>
                <w:sz w:val="19"/>
              </w:rPr>
              <w:t>https://ieshercar.edu.pe/</w:t>
            </w:r>
          </w:p>
        </w:tc>
        <w:tc>
          <w:tcPr>
            <w:tcW w:type="dxa" w:w="3120"/>
            <w:tcMar>
              <w:top w:w="100" w:type="dxa"/>
              <w:bottom w:w="100" w:type="dxa"/>
              <w:left w:w="120" w:type="dxa"/>
              <w:right w:w="120" w:type="dxa"/>
            </w:tcMar>
          </w:tcPr>
          <w:p>
            <w:r>
              <w:rPr>
                <w:rFonts w:ascii="Arial" w:hAnsi="Arial"/>
                <w:sz w:val="19"/>
              </w:rPr>
              <w:t>Sitio web matriz del I.E.S.T.P. "Hermanos Cárcamo" de Paita.</w:t>
            </w:r>
          </w:p>
        </w:tc>
      </w:tr>
      <w:tr>
        <w:tc>
          <w:tcPr>
            <w:tcW w:type="dxa" w:w="3120"/>
            <w:tcMar>
              <w:top w:w="100" w:type="dxa"/>
              <w:bottom w:w="100" w:type="dxa"/>
              <w:left w:w="120" w:type="dxa"/>
              <w:right w:w="120" w:type="dxa"/>
            </w:tcMar>
          </w:tcPr>
          <w:p>
            <w:r>
              <w:rPr>
                <w:rFonts w:ascii="Arial" w:hAnsi="Arial"/>
                <w:sz w:val="19"/>
              </w:rPr>
              <w:t>Plataforma de Pagos y Registro de Vouchers</w:t>
            </w:r>
          </w:p>
        </w:tc>
        <w:tc>
          <w:tcPr>
            <w:tcW w:type="dxa" w:w="3120"/>
            <w:tcMar>
              <w:top w:w="100" w:type="dxa"/>
              <w:bottom w:w="100" w:type="dxa"/>
              <w:left w:w="120" w:type="dxa"/>
              <w:right w:w="120" w:type="dxa"/>
            </w:tcMar>
          </w:tcPr>
          <w:p>
            <w:r>
              <w:rPr>
                <w:rFonts w:ascii="Arial" w:hAnsi="Arial"/>
                <w:sz w:val="19"/>
              </w:rPr>
              <w:t>https://pagos.ieshercar.edu.pe/</w:t>
            </w:r>
          </w:p>
        </w:tc>
        <w:tc>
          <w:tcPr>
            <w:tcW w:type="dxa" w:w="3120"/>
            <w:tcMar>
              <w:top w:w="100" w:type="dxa"/>
              <w:bottom w:w="100" w:type="dxa"/>
              <w:left w:w="120" w:type="dxa"/>
              <w:right w:w="120" w:type="dxa"/>
            </w:tcMar>
          </w:tcPr>
          <w:p>
            <w:r>
              <w:rPr>
                <w:rFonts w:ascii="Arial" w:hAnsi="Arial"/>
                <w:sz w:val="19"/>
              </w:rPr>
              <w:t>Sistema oficial para registro y validación de depósitos del Banco de la Nación.</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Memoria Profesional: HercarIA (Proyecto de Titulación 2026) • Paita, Piura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I.E.S.T.P. "Hermanos Cárcamo" — Paita | Carrera Profesional de APSTI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