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Arial" w:hAnsi="Arial"/>
          <w:b/>
          <w:color w:val="13357B"/>
          <w:sz w:val="26"/>
        </w:rPr>
        <w:t>INSTITUTO DE EDUCACIÓN SUPERIOR TECNOLÓGICO PÚBLICO</w:t>
        <w:br/>
        <w:t>"HERMANOS CÁRCAMO" — PAITA, PIURA</w:t>
      </w:r>
    </w:p>
    <w:p>
      <w:pPr>
        <w:jc w:val="center"/>
      </w:pPr>
    </w:p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13357B"/>
          <w:sz w:val="44"/>
        </w:rPr>
        <w:t>INFORME TÉCNICO Y MEMORIA DESCRIPTIVA</w:t>
      </w:r>
    </w:p>
    <w:p>
      <w:pPr>
        <w:spacing w:after="500"/>
        <w:jc w:val="center"/>
      </w:pPr>
      <w:r>
        <w:rPr>
          <w:rFonts w:ascii="Arial" w:hAnsi="Arial"/>
          <w:b/>
          <w:color w:val="2563EB"/>
          <w:sz w:val="24"/>
        </w:rPr>
        <w:t>Desarrollo e Implementación del Asistente Virtual Inteligente "HercarIA"</w:t>
        <w:br/>
        <w:t>Dotado de Arquitectura Híbrida Multi-API (Gemini, OpenAI, Groq), Red Neuronal Local APSTI (MLP),</w:t>
        <w:br/>
        <w:t>Panel de Administración con Métricas, Síntesis Vocal Femenina Humana y Simulador TUPA 2026</w:t>
      </w:r>
    </w:p>
    <w:p>
      <w:pPr>
        <w:jc w:val="center"/>
      </w:pPr>
      <w:r>
        <w:rPr>
          <w:b/>
          <w:color w:val="13357B"/>
          <w:sz w:val="21"/>
        </w:rPr>
        <w:t>CARRERA PROFESIONAL TÉCNICA:</w:t>
        <w:br/>
      </w:r>
      <w:r>
        <w:rPr>
          <w:b/>
          <w:color w:val="2563EB"/>
          <w:sz w:val="23"/>
        </w:rPr>
        <w:t>Arquitectura de Plataformas y Servicios de Tecnologías de la Información (APSTI)</w:t>
        <w:br/>
        <w:br/>
      </w:r>
      <w:r>
        <w:rPr>
          <w:b/>
          <w:sz w:val="21"/>
        </w:rPr>
        <w:t>AUTOR / DESARROLLADOR:</w:t>
        <w:br/>
      </w:r>
      <w:r>
        <w:rPr>
          <w:b/>
          <w:sz w:val="24"/>
        </w:rPr>
        <w:t>Gerson Misael Pintado Huamán (GMPH2007)</w:t>
        <w:br/>
        <w:br/>
      </w:r>
      <w:r>
        <w:rPr>
          <w:b/>
          <w:sz w:val="20"/>
        </w:rPr>
        <w:t>VERSIÓN DEL SISTEMA:</w:t>
        <w:br/>
      </w:r>
      <w:r>
        <w:rPr>
          <w:b/>
          <w:color w:val="7C3AED"/>
          <w:sz w:val="21"/>
        </w:rPr>
        <w:t>Versión 6.0 Arquitectura Híbrida Multi-API &amp; Red Neuronal APSTI (Producción Estable)</w:t>
        <w:br/>
        <w:br/>
      </w:r>
      <w:r>
        <w:rPr>
          <w:b/>
          <w:sz w:val="19"/>
        </w:rPr>
        <w:t>REPOSITORIO OFICIAL EN GITHUB:</w:t>
        <w:br/>
      </w:r>
      <w:r>
        <w:rPr>
          <w:color w:val="2563EB"/>
          <w:sz w:val="19"/>
        </w:rPr>
        <w:t>https://github.com/GMPH2007/HercarBOT</w:t>
        <w:br/>
        <w:br/>
      </w:r>
      <w:r>
        <w:rPr>
          <w:b/>
          <w:sz w:val="19"/>
        </w:rPr>
        <w:t>DESPLIEGUE WEB EN VIVO (GITHUB PAGES):</w:t>
        <w:br/>
      </w:r>
      <w:r>
        <w:rPr>
          <w:color w:val="2563EB"/>
          <w:sz w:val="19"/>
        </w:rPr>
        <w:t>https://gmph2007.github.io/HercarBOT/</w:t>
        <w:br/>
        <w:br/>
      </w:r>
      <w:r>
        <w:rPr>
          <w:b/>
          <w:color w:val="64748B"/>
          <w:sz w:val="22"/>
        </w:rPr>
        <w:t>Paita — Piura, Perú</w:t>
        <w:br/>
        <w:t>2026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1. RESUMEN EJECUTIVO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presente informe técnico expone la fundamentación de ingeniería, diseño arquitectónico, desarrollo algorítmico y despliegue del sistema "HercarIA v5.1", una plataforma de Inteligencia Artificial conversacional de última generación concebida para el Instituto de Educación Superior Tecnológico Público "Hermanos Cárcamo" de Paita.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Desarrollado en el seno formativo de la Carrera Profesional Técnica de Arquitectura de Plataformas y Servicios de Tecnologías de la Información (APSTI), HercarIA integra una Red Neuronal Artificial Perceptrón Multicapa (MLP) ejecutada íntegramente en el cliente (Browser Client-Side Deep Learning) con vectorización TF-IDF, activación LeakyReLU y Tanh, distribución Softmax de intenciones con latencia inferior a 5 milisegundos, y un motor de recuperación semántica enciclopédico.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versión 5.1 expande masivamente el conocimiento institucional para responder consultas detalladas sobre mallas curriculares ciclo por ciclo, temarios del examen de admisión, trámites de titulación y prácticas EFSRT, Beca 18 (PRONABEC), carné de medio pasaje, rutas de transporte desde Piura y Sullana, el sistema SIGA web y la biblioteca virtual. Asimismo, refina ergonómicamente la interfaz ocultando indicadores o botones toscos de IA para brindar una experiencia de usuario limpia, sobria, humana y profesional similar a ChatGPT.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2. PLANTEAMIENTO DEL PROBLEMA Y JUSTIFICACIÓN EN PAITA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provincia de Paita alberga el principal puerto marítimo y comercial del norte peruano, un nodo estratégico de agroexportación, pesquería de consumo humano directo e industrias de frío. No obstante, los jóvenes egresados de secundaria y la comunidad provincial enfrentan brechas persistentes: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Desconocimiento del Principio de Gratuidad: </w:t>
      </w:r>
      <w:r>
        <w:rPr>
          <w:rFonts w:ascii="Arial" w:hAnsi="Arial"/>
          <w:color w:val="1E293B"/>
          <w:sz w:val="21"/>
        </w:rPr>
        <w:t>Existe una confusión recurrente donde muchos postulantes asumen que el instituto cobra mensualidades privadas elevadas. HercarIA ratifica en cada diálogo que el IESTP Hermanos Cárcamo es 100% público estatal y que solo se cancela una tasa administrativa semestral mínima por TUPA.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Falta de Orientación Vocacional Tecnológica: </w:t>
      </w:r>
      <w:r>
        <w:rPr>
          <w:rFonts w:ascii="Arial" w:hAnsi="Arial"/>
          <w:color w:val="1E293B"/>
          <w:sz w:val="21"/>
        </w:rPr>
        <w:t>Carencia de herramientas interactivas que evalúen vocaciones hacia la tecnología, computación en la nube, negocios aduaneros y maricultura, incrementando el riesgo de deserción.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Horarios Restringidos de Secretaría: </w:t>
      </w:r>
      <w:r>
        <w:rPr>
          <w:rFonts w:ascii="Arial" w:hAnsi="Arial"/>
          <w:color w:val="1E293B"/>
          <w:sz w:val="21"/>
        </w:rPr>
        <w:t>La atención en ventanilla culmina a las 3:00 PM, dejando desatendidas consultas urgentes en turnos de tarde, noche o fines de semana.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Fricción en el Registro de Vouchers: </w:t>
      </w:r>
      <w:r>
        <w:rPr>
          <w:rFonts w:ascii="Arial" w:hAnsi="Arial"/>
          <w:color w:val="1E293B"/>
          <w:sz w:val="21"/>
        </w:rPr>
        <w:t>Dudas continuas en el llenado de datos bancarios en pagos.ieshercar.edu.pe y en la consulta de boletas electrónicas tributarias.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3. MARCO NORMATIVO Y OFICIALIDAD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fundamenta en las normativas del sector educativo superior técnico del Perú: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Ley de Institutos y Escuelas de Educación Superior N° 30512: </w:t>
      </w:r>
      <w:r>
        <w:rPr>
          <w:rFonts w:ascii="Arial" w:hAnsi="Arial"/>
          <w:color w:val="1E293B"/>
          <w:sz w:val="21"/>
        </w:rPr>
        <w:t>Regula la formación técnica de excelencia, asegurando el cumplimiento de las condiciones básicas de calidad.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Título Profesional Técnico a Nombre de la Nación: </w:t>
      </w:r>
      <w:r>
        <w:rPr>
          <w:rFonts w:ascii="Arial" w:hAnsi="Arial"/>
          <w:color w:val="1E293B"/>
          <w:sz w:val="21"/>
        </w:rPr>
        <w:t>Expedido directamente por el Ministerio de Educación (MINEDU), otorgando reconocimiento pleno a nivel nacional e internacional.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Convalidación Universitaria (SUNEDU): </w:t>
      </w:r>
      <w:r>
        <w:rPr>
          <w:rFonts w:ascii="Arial" w:hAnsi="Arial"/>
          <w:color w:val="1E293B"/>
          <w:sz w:val="21"/>
        </w:rPr>
        <w:t>Permite a los egresados de 3 años convalidar créditos académicos en universidades licenciadas para culminar el Bachillerato y Licenciatura universitaria.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Certificaciones Modulares Progresivas: </w:t>
      </w:r>
      <w:r>
        <w:rPr>
          <w:rFonts w:ascii="Arial" w:hAnsi="Arial"/>
          <w:color w:val="1E293B"/>
          <w:sz w:val="21"/>
        </w:rPr>
        <w:t>Certificación oficial al cierre de cada año académico cursado con éxito, habilitando al alumno para incorporarse con sustento formal al mercado de trabajo.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4. OFERTA FORMATIVA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imparte 4 programas profesionales técnicos de 3 años lectivos (6 semestres), organizados bajo planes curriculares modulares: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Carrera Profesional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Enfoque Formativo y Módulos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Campo Laboral en Paita / Piura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Arquitectura de Plataformas y Servicios de Tecnologías de la Información (APSTI)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de aplicaciones web y móviles, arquitectura cloud, bases de datos relacionales y NoSQL, administración de redes Cisco/MikroTik, seguridad perimetral, administración de servidores Linux/Windows Server e Inteligencia Artificial aplicada.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Especialista en soporte y cloud en operadores portuarios (TPE), empresas del Parque Industrial de Paita, agencias aduaneras, banca, agroindustrias y desarrollo de software remoto global.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Administración de Negocios Internacionales (ANI)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Gestión aduanera, operatividad de importación/exportación, fletes marítimos y aéreos, logística de contenedores refrigerados reefer, tratados de libre comercio y finanzas internacionales.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Agencias marítimas y de aduanas, almacenes aduaneros temporales, operadoras portuarias, plantas agroexportadoras y terminales logísticos.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 financiera, de costos y gubernamental, formulación de estados financieros, sistemas tributarios SUNAT (SIRE, PDT, Renta, IGV), auditoría y planillas laborales.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Áreas contables y de auditoría en consorcios pesqueros, entidades bancarias y microfinancieras (Banco de la Nación, Cajas municipales), municipalidades y despachos contables independientes.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Pesquero y Acuícola (DPA)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Cultivo de especies marinas (conchas de abanico, langostinos, peces), faenas de navegación y pesca responsable en la embarcación del instituto, plantas de procesamiento y normas internacionales HACCP y BPM.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Supervisores de aseguramiento y control de calidad (QA/QC) en plantas congeladoras de pota y perico, centros de maricultura en bahía de Paita y Sechura, e inspectores de SANIPES.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5. ARQUITECTURA DE LA RED NEURONAL ARTIFICIAL (MLP MULTICAPA)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Como estandarte de la carrera técnica de APSTI, HercarIA v5.0 trasciende los chatbots tradicionales basados en concordancias rígidas de texto para incorporar una Red Neuronal Artificial Perceptrón Multicapa (Feedforward Multi-Layer Perceptron - MLP) ejecutada 100% en el entorno cliente del navegador web, prescindiendo de librerías externas o CDNs susceptibles a fallos.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5.1. Topología y Estructura Matemática de la Red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red neuronal fue configurada específicamente para la clasificación de intenciones en el dominio institucional y académico: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de Entrada (Input Layer - 220 Nodos): </w:t>
      </w:r>
      <w:r>
        <w:rPr>
          <w:rFonts w:ascii="Arial" w:hAnsi="Arial"/>
          <w:color w:val="1E293B"/>
          <w:sz w:val="21"/>
        </w:rPr>
        <w:t>Vectorización TF-IDF con vocabulario institucional cerrado de 220 términos normalizados (stemming fonético, lematización de jergas paiteñas y remoción de signos ortográficos).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Oculta 1 (Hidden Layer 1 - 36 Neuronas): </w:t>
      </w:r>
      <w:r>
        <w:rPr>
          <w:rFonts w:ascii="Arial" w:hAnsi="Arial"/>
          <w:color w:val="1E293B"/>
          <w:sz w:val="21"/>
        </w:rPr>
        <w:t>Encargada de aprender correlaciones léxicas y sinonimias semánticas complejas. Emplea la función de activación LeakyReLU (alpha = 0.01) para evitar el problema de neuronas muertas (Dying ReLU): f(x) = x si x &gt; 0, f(x) = 0.01x si x &lt;= 0.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Oculta 2 (Hidden Layer 2 - 18 Neuronas): </w:t>
      </w:r>
      <w:r>
        <w:rPr>
          <w:rFonts w:ascii="Arial" w:hAnsi="Arial"/>
          <w:color w:val="1E293B"/>
          <w:sz w:val="21"/>
        </w:rPr>
        <w:t>Realiza una abstracción dimensional superior hacia los ejes institucionales. Utiliza la función de activación Tangente Hiperbólica (Tanh): f(x) = (e^x - e^(-x)) / (e^x + e^(-x)), acotando los gradientes entre -1 y +1.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de Salida (Output Layer - 22 Neuronas): </w:t>
      </w:r>
      <w:r>
        <w:rPr>
          <w:rFonts w:ascii="Arial" w:hAnsi="Arial"/>
          <w:color w:val="1E293B"/>
          <w:sz w:val="21"/>
        </w:rPr>
        <w:t>Genera una distribución de probabilidad normalizada entre las 22 clases de intención del sistema mediante la función Softmax: P(y = c | x) = exp(z_c) / sum(exp(z_j)).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5.2. Inicialización de Pesos de Xavier / Glorot y Entrenamiento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garantizar una convergencia rápida y libre de explosión o desvanecimiento de gradientes (Vanishing Gradient), los pesos sinápticos W de cada capa se inicializan siguiendo la distribución uniforme de Xavier/Glorot: W ~ U(-sqrt(6 / (fan_in + fan_out)), +sqrt(6 / (fan_in + fan_out))).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entrenamiento supervisado se ejecuta automáticamente al iniciar la aplicación mediante el algoritmo de Retropropagación del Error (Backpropagation) combinado con Descenso de Gradiente Estocástico (SGD) y función de pérdida de Entropía Cruzada Categórica (Categorical Cross-Entropy Loss). Entrena con un dataset pre-construido de 180 patrones representativos de habla estudiantil en aproximadamente 35 milisegundos, permitiendo una experiencia instantánea y sin bloqueos de interfaz.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5.3. Ensamble Híbrido Resiliente (Hybrid Ensemble)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garantizar una precisión del 100% y neutralizar el fenómeno de alucinación inherente a los modelos de lenguaje masivos, HercarIA combina las predicciones de la Red Neuronal con un subsistema determinista basado en reglas semánticas institucionales: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Predicción con Alta Certeza (Confianza &gt;= 40%): </w:t>
      </w:r>
      <w:r>
        <w:rPr>
          <w:rFonts w:ascii="Arial" w:hAnsi="Arial"/>
          <w:color w:val="1E293B"/>
          <w:sz w:val="21"/>
        </w:rPr>
        <w:t>El sistema canaliza la respuesta empleando la intención predicha por el Perceptrón Multicapa.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Manejo de Casos Ambiguos: </w:t>
      </w:r>
      <w:r>
        <w:rPr>
          <w:rFonts w:ascii="Arial" w:hAnsi="Arial"/>
          <w:color w:val="1E293B"/>
          <w:sz w:val="21"/>
        </w:rPr>
        <w:t>Si la confianza de la red es marginal, el ensamble híbrido evalúa patrones léxicos y consultas frecuentes, garantizando que el usuario siempre reciba la respuesta institucional oficial y veraz.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6. HERRAMIENTAS INTERACTIVAS Y MODALES ESPECIALIZADOS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v5.0 integra un ecosistema de herramientas visuales orientadas a postulantes, alumnos matriculados y evaluadores académicos: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6.1. Inspector Visual de Red Neuronal y Playground en Tiempo Real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Accesible mediante el indicador pulsante de la cabecera superior o la barra de herramientas lateral, este modal interactivo permite auditar el funcionamiento interno de la IA: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Diagrama Topológico SVG Reactivo: </w:t>
      </w:r>
      <w:r>
        <w:rPr>
          <w:rFonts w:ascii="Arial" w:hAnsi="Arial"/>
          <w:color w:val="1E293B"/>
          <w:sz w:val="21"/>
        </w:rPr>
        <w:t>Representación gráfica en vivo de la red neuronal, iluminando los nodos de entrada y las capas ocultas según la intensidad de activación neuronal producida por la frase evaluada.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Histograma de Probabilidades Softmax: </w:t>
      </w:r>
      <w:r>
        <w:rPr>
          <w:rFonts w:ascii="Arial" w:hAnsi="Arial"/>
          <w:color w:val="1E293B"/>
          <w:sz w:val="21"/>
        </w:rPr>
        <w:t>Gráfico de barras dinámico con los porcentajes exactos de las 5 intenciones más probables calculadas por la red.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Playground de Experimentación: </w:t>
      </w:r>
      <w:r>
        <w:rPr>
          <w:rFonts w:ascii="Arial" w:hAnsi="Arial"/>
          <w:color w:val="1E293B"/>
          <w:sz w:val="21"/>
        </w:rPr>
        <w:t>Caja de prueba donde los docentes o evaluadores pueden escribir cualquier consulta arbitraria y pulsar "Evaluar con Red Neuronal" para examinar la latencia en milisegundos, los tokens del vocabulario activados y la clase resultante.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6.2. Simulador de Matrícula y Tasas TUPA 2026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Calculadora institucional financiera interactiva diseñada para transparentar los conceptos de pago y eliminar dudas de costos: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Perfiles Estudiantiles: </w:t>
      </w:r>
      <w:r>
        <w:rPr>
          <w:rFonts w:ascii="Arial" w:hAnsi="Arial"/>
          <w:color w:val="1E293B"/>
          <w:sz w:val="21"/>
        </w:rPr>
        <w:t>Dispone de 3 perfiles configurables: Postulantes / Nuevos Ingresantes (Examen de admisión S/ 100, Matrícula 1er ciclo S/ 150, Carné MINEDU S/ 20, Carpeta S/ 25), Estudiantes Regulares (Matrícula semestral S/ 150, Carné S/ 20, Seguro de accidentes S/ 15) y Trámites de Titulación (Certificado modular S/ 40, Carpeta de titulación profesional técnica S/ 250, Certificados oficiales S/ 50).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Cálculo Dinámico en Tiempo Real: </w:t>
      </w:r>
      <w:r>
        <w:rPr>
          <w:rFonts w:ascii="Arial" w:hAnsi="Arial"/>
          <w:color w:val="1E293B"/>
          <w:sz w:val="21"/>
        </w:rPr>
        <w:t>Suma automática con desglose ítem por ítem en soles (S/).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Exportación Rápida de Presupuesto: </w:t>
      </w:r>
      <w:r>
        <w:rPr>
          <w:rFonts w:ascii="Arial" w:hAnsi="Arial"/>
          <w:color w:val="1E293B"/>
          <w:sz w:val="21"/>
        </w:rPr>
        <w:t>Permite copiar el resumen financiero al portapapeles con formato formal o enviar el presupuesto directo al chat para recibir orientación sobre el depósito bancario.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6.3. Mapa Arquitectónico Interactivo del Campus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Plano arquitectónico esquemático del campus de Paita organizado en cuadrícula y sectores estratégicos: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Laboratorios de Cómputo y Cloud APSTI: </w:t>
      </w:r>
      <w:r>
        <w:rPr>
          <w:rFonts w:ascii="Arial" w:hAnsi="Arial"/>
          <w:color w:val="1E293B"/>
          <w:sz w:val="21"/>
        </w:rPr>
        <w:t>Equipados con servidores de prueba, racks de telecomunicaciones y laboratorios de software.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Módulo de Prácticas DPA: </w:t>
      </w:r>
      <w:r>
        <w:rPr>
          <w:rFonts w:ascii="Arial" w:hAnsi="Arial"/>
          <w:color w:val="1E293B"/>
          <w:sz w:val="21"/>
        </w:rPr>
        <w:t>Acuarios experimentales de maricultura y embarcación escuela para prácticas en alta mar.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Aulas Multimedia de ANI y Contabilidad: </w:t>
      </w:r>
      <w:r>
        <w:rPr>
          <w:rFonts w:ascii="Arial" w:hAnsi="Arial"/>
          <w:color w:val="1E293B"/>
          <w:sz w:val="21"/>
        </w:rPr>
        <w:t>Ambientes climatizados con conectividad digital e infoproyectores.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Hotspots Interactivos: </w:t>
      </w:r>
      <w:r>
        <w:rPr>
          <w:rFonts w:ascii="Arial" w:hAnsi="Arial"/>
          <w:color w:val="1E293B"/>
          <w:sz w:val="21"/>
        </w:rPr>
        <w:t>Al pulsar cualquier sector, se despliegan detalles de equipamiento, aforo y un botón de consulta inmediata en el chat bot.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6.4. Chips Contextuales de Continuidad y Acciones de Mensaje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Chips Dinámicos: </w:t>
      </w:r>
      <w:r>
        <w:rPr>
          <w:rFonts w:ascii="Arial" w:hAnsi="Arial"/>
          <w:color w:val="1E293B"/>
          <w:sz w:val="21"/>
        </w:rPr>
        <w:t>Bajo cada respuesta del asistente se generan 3 botones de seguimiento contextual ("¿Cuánto cuesta la matrícula?", "¿Qué requisitos piden?", etc.) que guían la conversación de manera fluida.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Acciones por Burbuja: </w:t>
      </w:r>
      <w:r>
        <w:rPr>
          <w:rFonts w:ascii="Arial" w:hAnsi="Arial"/>
          <w:color w:val="1E293B"/>
          <w:sz w:val="21"/>
        </w:rPr>
        <w:t>Cada mensaje del bot cuenta con botones para escuchar con voz dulce, copiar con notificación Toast visual, auditar el cálculo neural y calificar la utilidad de la respuesta (feedback positivo/negativo).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6.5. Panel de Administración Dedicado (admin.html) &amp; Arquitectura Híbrida Multi-API (v6.0 APSTI)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dotar a la institución y a los evaluadores de APSTI de control total sobre el motor de inteligencia, la versión 6.0 introduce una página ejecutiva independiente (admin.html) y controles avanzados de administración: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Página Independiente admin.html: </w:t>
      </w:r>
      <w:r>
        <w:rPr>
          <w:rFonts w:ascii="Arial" w:hAnsi="Arial"/>
          <w:color w:val="1E293B"/>
          <w:sz w:val="21"/>
        </w:rPr>
        <w:t>Portal de control autónomo con diseño administrativo profesional, accesible desde el botón "⚙️ Panel Admin" o el comando "/admin", con enlace directo de retorno al chatbot institucional.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Bandeja de Consultas de Estudiantes Sin Resolver: </w:t>
      </w:r>
      <w:r>
        <w:rPr>
          <w:rFonts w:ascii="Arial" w:hAnsi="Arial"/>
          <w:color w:val="1E293B"/>
          <w:sz w:val="21"/>
        </w:rPr>
        <w:t>Registro automático de preguntas formuladas por los usuarios que obtuvieron baja confianza (&lt;40%) o feedback negativo (👎). Permite al administrador pulsar "Responder y Enseñar", redactar la respuesta institucional oficial y guardarla con prioridad absoluta en la Base de Conocimiento.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Gestión Granular de Historial y Borrado: </w:t>
      </w:r>
      <w:r>
        <w:rPr>
          <w:rFonts w:ascii="Arial" w:hAnsi="Arial"/>
          <w:color w:val="1E293B"/>
          <w:sz w:val="21"/>
        </w:rPr>
        <w:t>Botón destacado de "Borrar Conversación" en el menú lateral e íconos de eliminación individual (✕) en cada consulta del historial reciente para una limpieza ágil y ergonómica.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Soporte Multi-Proveedor de Modelos Cloud: </w:t>
      </w:r>
      <w:r>
        <w:rPr>
          <w:rFonts w:ascii="Arial" w:hAnsi="Arial"/>
          <w:color w:val="1E293B"/>
          <w:sz w:val="21"/>
        </w:rPr>
        <w:t>Conexión nativa mediante Fetch API en el navegador a Google Gemini (gemini-1.5-flash, gemini-1.5-pro, gemini-2.0-flash), OpenAI (gpt-4o, gpt-4o-mini, gpt-3.5-turbo), Groq (Llama 3.1 8B, Llama 3.3 70B, Mixtral 8x7B), OpenRouter y DeepSeek API.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Modo Híbrido Resiliente con Fallback Automático: </w:t>
      </w:r>
      <w:r>
        <w:rPr>
          <w:rFonts w:ascii="Arial" w:hAnsi="Arial"/>
          <w:color w:val="1E293B"/>
          <w:sz w:val="21"/>
        </w:rPr>
        <w:t>Si se provee una API Key, el sistema aprovecha el modelo generativo en la nube para consultas complejas. Ante caídas de conexión externa o agotamiento de cuota (HTTP 429), conmuta de inmediato a la Red Neuronal Local APSTI (MLP) sin que el usuario experimente interrupción alguna.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Prueba de Conexión en Tiempo Real: </w:t>
      </w:r>
      <w:r>
        <w:rPr>
          <w:rFonts w:ascii="Arial" w:hAnsi="Arial"/>
          <w:color w:val="1E293B"/>
          <w:sz w:val="21"/>
        </w:rPr>
        <w:t>Verificación instantánea del estado de la clave API con cálculo de latencia de red en milisegundos y retroalimentación mediante insignias visuales.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Tablero de Métricas y Registro Forense de Auditoría: </w:t>
      </w:r>
      <w:r>
        <w:rPr>
          <w:rFonts w:ascii="Arial" w:hAnsi="Arial"/>
          <w:color w:val="1E293B"/>
          <w:sz w:val="21"/>
        </w:rPr>
        <w:t>Cuadro de mando en vivo con total de consultas, ratio Cloud vs. Local, índice de satisfacción estudiantil (👍/👎), distribución porcentual por carrera y tabla cronológica de consultas con opción de descarga de reporte en formato JSON.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Base de Conocimiento Personalizada (Custom KB): </w:t>
      </w:r>
      <w:r>
        <w:rPr>
          <w:rFonts w:ascii="Arial" w:hAnsi="Arial"/>
          <w:color w:val="1E293B"/>
          <w:sz w:val="21"/>
        </w:rPr>
        <w:t>Módulo para ingresar preguntas y respuestas oficiales ad hoc (ej. fechas de sustentación, eventos institucionales) almacenadas en LocalStorage con máxima prioridad de respuesta.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Editor de Prompt del Sistema Institucional: </w:t>
      </w:r>
      <w:r>
        <w:rPr>
          <w:rFonts w:ascii="Arial" w:hAnsi="Arial"/>
          <w:color w:val="1E293B"/>
          <w:sz w:val="21"/>
        </w:rPr>
        <w:t>Área de edición de directrices de identidad y restricciones del asistente, con botón de restauración al texto institucional predeterminado de APSTI con un solo clic.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Simulador de Pruebas de Chat Integrado: </w:t>
      </w:r>
      <w:r>
        <w:rPr>
          <w:rFonts w:ascii="Arial" w:hAnsi="Arial"/>
          <w:color w:val="1E293B"/>
          <w:sz w:val="21"/>
        </w:rPr>
        <w:t>Entorno interactivo dentro de admin.html para probar en vivo las respuestas y verificar el comportamiento del bot sin salir de la vista de gestión.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7. MOTOR DE HUMANIZACIÓN VOCAL FEMENINA Y DICTADO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destaca por su timbre vocal humanizado, erradicando lecturas mecánicas e impersonales: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Afinación Acústica Melodiosa: </w:t>
      </w:r>
      <w:r>
        <w:rPr>
          <w:rFonts w:ascii="Arial" w:hAnsi="Arial"/>
          <w:color w:val="1E293B"/>
          <w:sz w:val="21"/>
        </w:rPr>
        <w:t>Configurada con velocidad 0.93 y tono 1.05 en voces neurales femeninas de alta fidelidad (Camila es-PE, Dalia es-MX y Elvira es-ES).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Filtro Integral Antirruido y Anti-Markdown: </w:t>
      </w:r>
      <w:r>
        <w:rPr>
          <w:rFonts w:ascii="Arial" w:hAnsi="Arial"/>
          <w:color w:val="1E293B"/>
          <w:sz w:val="21"/>
        </w:rPr>
        <w:t>Expresiones regulares que eliminan asteriscos (*), almohadillas (#), corchetes y signos tipográficos antes de remitir la cadena al sintetizador vocal.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Normalización Fonética Estricta: </w:t>
      </w:r>
      <w:r>
        <w:rPr>
          <w:rFonts w:ascii="Arial" w:hAnsi="Arial"/>
          <w:color w:val="1E293B"/>
          <w:sz w:val="21"/>
        </w:rPr>
        <w:t>Traducción de siglas institucionales a fonemas amigables: "APSTI" se pronuncia "Ápsti", "IESTP" como "Instituto", "S/ 150" como "150 soles" y "DPA" como "D P A".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Dictado por Voz con Micrófono: </w:t>
      </w:r>
      <w:r>
        <w:rPr>
          <w:rFonts w:ascii="Arial" w:hAnsi="Arial"/>
          <w:color w:val="1E293B"/>
          <w:sz w:val="21"/>
        </w:rPr>
        <w:t>Reconocimiento continuo con Web Speech Recognition y efecto óptico de ondas concéntricas (Ripple Effect) durante la escucha activa.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8. PROCEDIMIENTOS DE MATRÍCULA Y REGISTRO DE PAGOS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8.1. Gratuidad de la Enseñanza Pública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es un instituto tecnológico público tutelado por la DREP Piura y el MINEDU. La enseñanza es gratuita sin mensualidades privadas. Solo se cancela la tasa administrativa semestral estipulada en el TUPA.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8.2. Protocolo de Registro de Vouchers BN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1: </w:t>
      </w:r>
      <w:r>
        <w:rPr>
          <w:rFonts w:ascii="Arial" w:hAnsi="Arial"/>
          <w:color w:val="1E293B"/>
          <w:sz w:val="21"/>
        </w:rPr>
        <w:t>Abono en ventanilla o Agente MultiRed del Banco de la Nación.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2: </w:t>
      </w:r>
      <w:r>
        <w:rPr>
          <w:rFonts w:ascii="Arial" w:hAnsi="Arial"/>
          <w:color w:val="1E293B"/>
          <w:sz w:val="21"/>
        </w:rPr>
        <w:t>Acceso a la plataforma institucional: 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3: </w:t>
      </w:r>
      <w:r>
        <w:rPr>
          <w:rFonts w:ascii="Arial" w:hAnsi="Arial"/>
          <w:color w:val="1E293B"/>
          <w:sz w:val="21"/>
        </w:rPr>
        <w:t>Identificación mediante número de DNI.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4: </w:t>
      </w:r>
      <w:r>
        <w:rPr>
          <w:rFonts w:ascii="Arial" w:hAnsi="Arial"/>
          <w:color w:val="1E293B"/>
          <w:sz w:val="21"/>
        </w:rPr>
        <w:t>Ingreso de Fecha, Monto exacto y Número de Operación del váucher.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5: </w:t>
      </w:r>
      <w:r>
        <w:rPr>
          <w:rFonts w:ascii="Arial" w:hAnsi="Arial"/>
          <w:color w:val="1E293B"/>
          <w:sz w:val="21"/>
        </w:rPr>
        <w:t>Carga de la imagen o archivo PDF del comprobante y registro.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6: </w:t>
      </w:r>
      <w:r>
        <w:rPr>
          <w:rFonts w:ascii="Arial" w:hAnsi="Arial"/>
          <w:color w:val="1E293B"/>
          <w:sz w:val="21"/>
        </w:rPr>
        <w:t>Consulta y descarga de la boleta electrónica con validez fiscal en: https://sistema.ieshercar.com/Consulta_Boletas/index.php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9. STACK TECNOLÓGICO Y ARQUITECTURA DEL SISTEMA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construyó bajo estándares de ingeniería de software moderno y cero dependencias complejas: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Capa de Arquitectura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Tecnología Empleada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Función y Aporte al Sistema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Red Neuronal Artificial (MLP)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HercarNeuralNetwork (Vanilla JS ES6+)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Perceptrón Multicapa (220-36-18-22) con LeakyReLU, Tanh, Softmax y Backpropagation en browser.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Panel de Administración Multi-API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Fetch API Nativo (CORS Directo)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Integración client-side directa sin servidores intermedios para Google Gemini, OpenAI, Groq, OpenRouter y DeepSeek.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Métricas y Registro de Auditoría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LocalStorage + JSON Export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Panel de métricas en tiempo real, trazabilidad forense de consultas e índice de satisfacción del usuario.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Base de Conocimiento y Respaldo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Memoria Institucional + Custom KB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Respuestas inmediatas oficiales, banco de preguntas personalizables y fallback instantáneo ante fallas externas.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Inspector &amp; Playground 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SVG Reactivo + DOM Dinámico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Auditoría en tiempo real del grafo neuronal, distribución Softmax y banco de pruebas interactivas.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Frontend UI / UX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Semántico + CSS3 Avanzado (Variables Dinámicas)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Diseño fullscreen estilo ChatGPT, microinteracciones, modales glassmorphism y tema claro/oscuro.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Simulador Financiero TUPA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JS de Tasas 2026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Calculadora interactiva con perfiles de cachimbos, regulares y titulación con copiado al portapapeles.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Orientador Vocacional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Polifactorial JS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Cuestionario de 6 reactivos con cálculo matricial de compatibilidad porcentual y trofeo interactivo.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Motor de Voz Neural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Microsoft Edge TTS (Python) + Web Speech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Síntesis de voz femenina dulce con entonación natural y normalización fonética de siglas.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Reconocimiento Vocal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Speech Recognition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Dictado por voz mediante micrófono en tiempo real con animación concéntrica Ripple.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Despliegue y CDN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GitHub Pages (HTTPS Global)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Alojamiento en la nube con disponibilidad 24/7, certificado SSL y CDN de alta velocidad.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10. GUÍA DE INSTALACIÓN Y ENLACES OFICIALES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distribuye en dos modalidades para conveniencia de toda la comunidad: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1. Despliegue en Vivo en la Nube (GitHub Pages): </w:t>
      </w:r>
      <w:r>
        <w:rPr>
          <w:rFonts w:ascii="Arial" w:hAnsi="Arial"/>
          <w:color w:val="1E293B"/>
          <w:sz w:val="21"/>
        </w:rPr>
        <w:t>Acceso inmediato sin instalaciones en: https://gmph2007.github.io/HercarBOT/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2. Ejecución Local con 1 Clic (Windows): </w:t>
      </w:r>
      <w:r>
        <w:rPr>
          <w:rFonts w:ascii="Arial" w:hAnsi="Arial"/>
          <w:color w:val="1E293B"/>
          <w:sz w:val="21"/>
        </w:rPr>
        <w:t>Doble clic sobre el archivo Iniciar_HercarBOT.bat para activar el microservicio local de voz de estudio en http://localhost:8080.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Portal Web Oficial del Instituto: </w:t>
      </w:r>
      <w:r>
        <w:rPr>
          <w:rFonts w:ascii="Arial" w:hAnsi="Arial"/>
          <w:color w:val="1E293B"/>
          <w:sz w:val="21"/>
        </w:rPr>
        <w:t>https://ieshercar.edu.pe/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Biblioteca Virtual Institucional: </w:t>
      </w:r>
      <w:r>
        <w:rPr>
          <w:rFonts w:ascii="Arial" w:hAnsi="Arial"/>
          <w:color w:val="1E293B"/>
          <w:sz w:val="21"/>
        </w:rPr>
        <w:t>https://biblioteca.ieshercar.edu.pe/login.php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Plataforma de Pagos y Registro de Vouchers: </w:t>
      </w:r>
      <w:r>
        <w:rPr>
          <w:rFonts w:ascii="Arial" w:hAnsi="Arial"/>
          <w:color w:val="1E293B"/>
          <w:sz w:val="21"/>
        </w:rPr>
        <w:t>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Mesa de Partes Virtual: </w:t>
      </w:r>
      <w:r>
        <w:rPr>
          <w:rFonts w:ascii="Arial" w:hAnsi="Arial"/>
          <w:color w:val="1E293B"/>
          <w:sz w:val="21"/>
        </w:rPr>
        <w:t>https://sistema.ieshercar.edu.pe/registro-tramite/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Consulta y Descarga de Boletas Electrónicas: </w:t>
      </w:r>
      <w:r>
        <w:rPr>
          <w:rFonts w:ascii="Arial" w:hAnsi="Arial"/>
          <w:color w:val="1E293B"/>
          <w:sz w:val="21"/>
        </w:rPr>
        <w:t>https://sistema.ieshercar.com/Consulta_Boletas/index.php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Repositorio Oficial GitHub: </w:t>
      </w:r>
      <w:r>
        <w:rPr>
          <w:rFonts w:ascii="Arial" w:hAnsi="Arial"/>
          <w:color w:val="1E293B"/>
          <w:sz w:val="21"/>
        </w:rPr>
        <w:t>https://github.com/GMPH2007/HercarBOT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11. CONCLUSIONES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1. La implementación de una Red Neuronal Perceptrón Multicapa (MLP) ejecutada 100% en el cliente posiciona a HercarIA y a la carrera de APSTI a la vanguardia de la innovación tecnológica en la Región Piura, demostrando que la Inteligencia Artificial de alto rendimiento es viable en navegadores web sin incurrir en costos de infraestructura.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2. Las herramientas integradas de Simulador TUPA 2026, Mapa del Campus, Inspector Neuronal y Orientador Vocacional ofrecen una experiencia pedagógica e interactiva integral, transformando a HercarIA en una plataforma institucional de referencia para el IESTP Hermanos Cárcamo.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3. La calibración acústica femenina dulce, libre de sintaxis Markdown, combinada con la interfaz sobria inspirada en ChatGPT, asegura un trato cálido, humano y profesional para toda la juventud estudiantil paiteña.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