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rFonts w:ascii="Arial" w:hAnsi="Arial"/>
          <w:b/>
          <w:color w:val="13357B"/>
          <w:sz w:val="26"/>
        </w:rPr>
        <w:t>INSTITUTO DE EDUCACIÓN SUPERIOR TECNOLÓGICO PÚBLICO</w:t>
        <w:br/>
        <w:t>"HERMANOS CÁRCAMO" — PAITA, PIURA</w:t>
      </w:r>
    </w:p>
    <w:p>
      <w:pPr>
        <w:jc w:val="center"/>
      </w:pPr>
    </w:p>
    <w:p>
      <w:pPr>
        <w:spacing w:after="400"/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r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color w:val="13357B"/>
          <w:sz w:val="44"/>
        </w:rPr>
        <w:t>INFORME TÉCNICO Y MEMORIA DESCRIPTIVA</w:t>
      </w:r>
    </w:p>
    <w:p>
      <w:pPr>
        <w:spacing w:after="500"/>
        <w:jc w:val="center"/>
      </w:pPr>
      <w:r>
        <w:rPr>
          <w:rFonts w:ascii="Arial" w:hAnsi="Arial"/>
          <w:b/>
          <w:color w:val="2563EB"/>
          <w:sz w:val="27"/>
        </w:rPr>
        <w:t>Desarrollo e Implementación del Asistente Virtual Inteligente</w:t>
        <w:br/>
        <w:t>y Orientador Vocacional "HercarIA"</w:t>
      </w:r>
    </w:p>
    <w:p>
      <w:pPr>
        <w:jc w:val="center"/>
      </w:pPr>
      <w:r>
        <w:rPr>
          <w:b/>
          <w:color w:val="13357B"/>
          <w:sz w:val="21"/>
        </w:rPr>
        <w:t>CARRERA PROFESIONAL TÉCNICA:</w:t>
        <w:br/>
      </w:r>
      <w:r>
        <w:rPr>
          <w:b/>
          <w:color w:val="2563EB"/>
          <w:sz w:val="23"/>
        </w:rPr>
        <w:t>Arquitectura de Plataformas y Servicios de Tecnologías de la Información (APSTI)</w:t>
        <w:br/>
        <w:br/>
      </w:r>
      <w:r>
        <w:rPr>
          <w:b/>
          <w:sz w:val="21"/>
        </w:rPr>
        <w:t>AUTOR / DESARROLLADOR:</w:t>
        <w:br/>
      </w:r>
      <w:r>
        <w:rPr>
          <w:b/>
          <w:sz w:val="24"/>
        </w:rPr>
        <w:t>Gerson Misael Pintado Huamán (GMPH2007)</w:t>
        <w:br/>
        <w:br/>
      </w:r>
      <w:r>
        <w:rPr>
          <w:b/>
          <w:sz w:val="19"/>
        </w:rPr>
        <w:t>REPOSITORIO OFICIAL EN GITHUB:</w:t>
        <w:br/>
      </w:r>
      <w:r>
        <w:rPr>
          <w:color w:val="2563EB"/>
          <w:sz w:val="19"/>
        </w:rPr>
        <w:t>https://github.com/GMPH2007/HercarBOT</w:t>
        <w:br/>
        <w:br/>
      </w:r>
      <w:r>
        <w:rPr>
          <w:b/>
          <w:sz w:val="19"/>
        </w:rPr>
        <w:t>DESPLIEGUE WEB EN VIVO (GITHUB PAGES):</w:t>
        <w:br/>
      </w:r>
      <w:r>
        <w:rPr>
          <w:color w:val="2563EB"/>
          <w:sz w:val="19"/>
        </w:rPr>
        <w:t>https://gmph2007.github.io/HercarBOT/</w:t>
        <w:br/>
        <w:br/>
      </w:r>
      <w:r>
        <w:rPr>
          <w:b/>
          <w:color w:val="64748B"/>
          <w:sz w:val="22"/>
        </w:rPr>
        <w:t>Paita — Piura, Perú</w:t>
        <w:br/>
        <w:t>2026</w:t>
      </w:r>
    </w:p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1. RESUMEN EJECUTIVO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presente informe técnico expone la concepción, fundamentación técnica, desarrollo e implementación del sistema "HercarIA", un asistente virtual conversacional inteligente dotado de síntesis de voz femenina neural humana y orientador vocacional psicométrico, concebido específicamente para el Instituto de Educación Superior Tecnológico Público "Hermanos Cárcamo" de Paita.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Desarrollado en el marco formativo de la Carrera Profesional Técnica de Arquitectura de Plataformas y Servicios de Tecnologías de la Información (APSTI), HercarIA solventa la brecha de orientación académica en la provincia de Paita y el norte peruano. Ofrece atención ininterrumpida las 24 horas del día, los 7 días de la semana, informando verazmente sobre la oferta formativa institucional (APSTI, Administración de Negocios Internacionales, Contabilidad y Desarrollo Pesquero y Acuícola), el principio de gratuidad de la enseñanza pública (sin mensualidades privadas), los protocolos de registro digital de vouchers del Banco de la Nación, requisitos de admisión y el trámite de documentos oficiales a través de la Mesa de Partes Virtual.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La solución se distingue por su arquitectura ligera y moderna inspirada en ChatGPT, con menú colapsable, controles ergonómicos en cabecera ("Guardar Chat" en archivo de texto formal y "Borrar Chat"), barra de píldoras de acceso rápido sobre el campo de escritura, y un avanzado motor de voz sintetizada dulce, natural y libre de lecturas robóticas de sintaxis Markdown.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2. PLANTEAMIENTO DEL PROBLEMA Y JUSTIFICACIÓN EN PAITA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La provincia de Paita constituye el segundo polo económico y comercial más relevante de la Región Piura, albergando el principal puerto marítimo del norte peruano (Terminal Portuario Euroandinos), una pujante industria pesquera y acuícola, centros logísticos aduaneros y agroexportadores. Pese a este entorno favorable, los egresados de educación secundaria y jóvenes de la región enfrentan serias dificultades al momento de decidir su formación superior: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Desinformación sobre la Gratuidad Pública: </w:t>
      </w:r>
      <w:r>
        <w:rPr>
          <w:rFonts w:ascii="Arial" w:hAnsi="Arial"/>
          <w:color w:val="1E293B"/>
          <w:sz w:val="21"/>
        </w:rPr>
        <w:t>Gran parte de los postulantes y padres de familia confunden al instituto con una entidad privada lucrativa, asumiendo erróneamente que deberán afrontar costosas pensiones mensuales. HercarIA aclara permanentemente que el IESTP Hermanos Cárcamo es 100% público estatal y que solo se abona una tasa semestral mínima por concepto de TUPA.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Indecisión Vocacional y Deserción Prematura: </w:t>
      </w:r>
      <w:r>
        <w:rPr>
          <w:rFonts w:ascii="Arial" w:hAnsi="Arial"/>
          <w:color w:val="1E293B"/>
          <w:sz w:val="21"/>
        </w:rPr>
        <w:t>Muchos aspirantes carecen de test vocacionales cercanos y accesibles, postulando a carreras que no concuerdan con sus habilidades reales. El test vocacional integrado de 6 reactivos orienta objetivamente el perfil del estudiante hacia las necesidades laborales reales de Paita.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Restricción Horaria en Mesa de Partes y Secretaría: </w:t>
      </w:r>
      <w:r>
        <w:rPr>
          <w:rFonts w:ascii="Arial" w:hAnsi="Arial"/>
          <w:color w:val="1E293B"/>
          <w:sz w:val="21"/>
        </w:rPr>
        <w:t>La atención administrativa presencial concluye a las 3:00 PM de lunes a viernes, imposibilitando la resolución de dudas en horario vespertino, nocturno o fines de semana.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Complejidad en el Registro Virtual de Pagos: </w:t>
      </w:r>
      <w:r>
        <w:rPr>
          <w:rFonts w:ascii="Arial" w:hAnsi="Arial"/>
          <w:color w:val="1E293B"/>
          <w:sz w:val="21"/>
        </w:rPr>
        <w:t>El uso de la plataforma digital institucional (pagos.ieshercar.edu.pe) suscita dudas continuas respecto a qué números consignar del voucher del Banco de la Nación, cómo adjuntar el comprobante y de qué forma descargar la boleta electrónica oficial.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3. MARCO NORMATIVO Y OFICIALIDAD INSTITUCIONAL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diseñó alineado a las directrices de la legislación educativa técnica superior del Perú: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Ley de Institutos y Escuelas de Educación Superior N° 30512: </w:t>
      </w:r>
      <w:r>
        <w:rPr>
          <w:rFonts w:ascii="Arial" w:hAnsi="Arial"/>
          <w:color w:val="1E293B"/>
          <w:sz w:val="21"/>
        </w:rPr>
        <w:t>Marco legal que regula el funcionamiento de los institutos tecnológicos del país, garantizando calidad académica, pertinencia formativa y titulación oficial.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Título Profesional Técnico a Nombre de la Nación: </w:t>
      </w:r>
      <w:r>
        <w:rPr>
          <w:rFonts w:ascii="Arial" w:hAnsi="Arial"/>
          <w:color w:val="1E293B"/>
          <w:sz w:val="21"/>
        </w:rPr>
        <w:t>Todos los programas académicos concluidos con éxito en el IESTP Hermanos Cárcamo otorgan Título Profesional Técnico expedido directamente por el Ministerio de Educación (MINEDU), con validez nacional e internacional.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Convalidación Universitaria (SUNEDU): </w:t>
      </w:r>
      <w:r>
        <w:rPr>
          <w:rFonts w:ascii="Arial" w:hAnsi="Arial"/>
          <w:color w:val="1E293B"/>
          <w:sz w:val="21"/>
        </w:rPr>
        <w:t>Los egresados titulados de las carreras técnicas de 3 años pueden convalidar sus créditos y cursos en universidades licenciadas por SUNEDU, completando el grado universitario de Bachiller y Licenciatura en menor tiempo.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Certificaciones Modulares Progresivas: </w:t>
      </w:r>
      <w:r>
        <w:rPr>
          <w:rFonts w:ascii="Arial" w:hAnsi="Arial"/>
          <w:color w:val="1E293B"/>
          <w:sz w:val="21"/>
        </w:rPr>
        <w:t>Por cada año lectivo aprobado (2 semestres), el alumno recibe un certificado oficial modular técnico que le permite insertarse formalmente en el mercado laboral antes de titularse.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4. OFERTA FORMATIVA INSTITUCIONAL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IESTP Hermanos Cárcamo brinda 4 carreras profesionales técnicas de 3 años de duración lectiva (6 semestres académicos), con turno regular diurno y énfasis en talleres prácticos y laboratorios de cómputo: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Carrera Profesional</w:t>
            </w:r>
          </w:p>
        </w:tc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Enfoque Formativo y Módulos</w:t>
            </w:r>
          </w:p>
        </w:tc>
        <w:tc>
          <w:tcPr>
            <w:tcW w:type="dxa" w:w="3120"/>
            <w:shd w:fill="13357B"/>
            <w:tcMar>
              <w:top w:w="130" w:type="dxa"/>
              <w:bottom w:w="13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Campo Laboral en Paita / Piura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Arquitectura de Plataformas y Servicios de Tecnologías de la Información (APSTI)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de software web y móvil, diseño de bases de datos relacionales y no relacionales, cableado estructurado, configuración de redes WAN/LAN, seguridad informática, administración de servidores Linux/Windows y despliegue en entornos Cloud.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Desarrollador de software en agencias marítimas y de aduanas, administrador de servidores en empresas del Parque Industrial de Paita, soporte TI en entidades bancarias, instituciones de salud y teletrabajo internacional.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Administración de Negocios Internacionales (ANI)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Operaciones aduaneras, regímenes de importación y exportación, logística portuaria y de contenedores refrigerados, tratados comerciales internacionales, fletes marítimos e investigación de mercados exteriores.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Operadores portuarios en el Terminal Portuario Euroandinos (TPE), agencias aduaneras, depósitos aduaneros autorizados, empresas agroexportadoras de mango, uva y banano orgánico, y procesadoras de pota y perico.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Contabilidad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Contabilidad comercial, de costos, gubernamental y de sociedades; registro de libros contables físicos y electrónicos (SIRE - SUNAT), liquidación de tributos (PDT, IGV, Renta), auditoría financiera y balances generales.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Estudios contables independientes, áreas de tesorería y contabilidad de empresas pesqueras e industriales, agencias bancarias (Banco de la Nación, Cajas Piura/Sullana), municipios y entidades del Estado.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Pesquero y Acuícola (DPA)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Cultivo marino de conchas de abanico, langostinos y tilapias; artes y aparejos de pesca, navegación costera y de altura a bordo de la embarcación del instituto, procesamiento industrial y sistemas de inocuidad alimentaria (HACCP, BPM).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Supervisores de aseguramiento de calidad (QA/QC) en plantas pesqueras congeladoras y conserveras de Paita, jefes de centros de maricultura en la bahía de Sechura y Paita, capitanes de pesca e inspectores de SANIPES.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5. PROCEDIMIENTOS DE MATRÍCULA Y REGISTRO DE PAGOS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5.1. Gratuidad de la Enseñanza Pública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IESTP Hermanos Cárcamo es un instituto tecnológico público tutelado por la Dirección Regional de Educación de Piura (DREP) y el MINEDU. La enseñanza es totalmente gratuita y no se abona ningún tipo de pensión mensual privada. El único pago corresponde a la tasa administrativa semestral estipulada en el TUPA institucional (S/ 150 a S/ 250 por semestre completo).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4"/>
        </w:rPr>
        <w:t>5.2. Protocolo Paso a Paso de Registro de Vouchers BN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1 (Depósito Bancario): </w:t>
      </w:r>
      <w:r>
        <w:rPr>
          <w:rFonts w:ascii="Arial" w:hAnsi="Arial"/>
          <w:color w:val="1E293B"/>
          <w:sz w:val="21"/>
        </w:rPr>
        <w:t>El postulante o estudiante regular acude a cualquier ventanilla o Agente MultiRed del Banco de la Nación para abonar la tasa institucional, conservando su váucher físico o comprobante digital.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2 (Acceso al Portal): </w:t>
      </w:r>
      <w:r>
        <w:rPr>
          <w:rFonts w:ascii="Arial" w:hAnsi="Arial"/>
          <w:color w:val="1E293B"/>
          <w:sz w:val="21"/>
        </w:rPr>
        <w:t>Ingresa desde su celular o computadora al portal oficial: 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3 (Autenticación): </w:t>
      </w:r>
      <w:r>
        <w:rPr>
          <w:rFonts w:ascii="Arial" w:hAnsi="Arial"/>
          <w:color w:val="1E293B"/>
          <w:sz w:val="21"/>
        </w:rPr>
        <w:t>Digita su número de DNI para que el sistema identifique su legajo académico.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4 (Ingreso de Datos del Váucher): </w:t>
      </w:r>
      <w:r>
        <w:rPr>
          <w:rFonts w:ascii="Arial" w:hAnsi="Arial"/>
          <w:color w:val="1E293B"/>
          <w:sz w:val="21"/>
        </w:rPr>
        <w:t>Selecciona el concepto correspondiente (Matrícula, Examen de Admisión o Trámite Administrativo) y transcribe cuidadosamente la Fecha, Monto exacto y Número de Operación impreso en el váucher.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5 (Carga de Comprobante): </w:t>
      </w:r>
      <w:r>
        <w:rPr>
          <w:rFonts w:ascii="Arial" w:hAnsi="Arial"/>
          <w:color w:val="1E293B"/>
          <w:sz w:val="21"/>
        </w:rPr>
        <w:t>Adjunta una fotografía nítida o archivo PDF del comprobante y presiona "Registrar Pago".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Paso 6 (Descarga de Boleta Electrónica): </w:t>
      </w:r>
      <w:r>
        <w:rPr>
          <w:rFonts w:ascii="Arial" w:hAnsi="Arial"/>
          <w:color w:val="1E293B"/>
          <w:sz w:val="21"/>
        </w:rPr>
        <w:t>Una vez validado el pago, el usuario ingresa a https://sistema.ieshercar.com/Consulta_Boletas/index.php con su DNI para visualizar y descargar su boleta electrónica con valor tributario.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6. STACK TECNOLÓGICO Y ARQUITECTURA DEL SISTEMA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construyó bajo principios de alto desempeño, desacoplamiento y cero dependencias complejas, garantizando que el sistema cargue instantáneamente incluso bajo conexiones móviles lentas en zonas periféricas de Paita: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Capa de Arquitectura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Tecnología Empleada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Función y Aporte al Sistema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Frontend UI / UX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HTML5 Semántico + CSS3 Avanzado (Variables Dinámicas)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Diseño fullscreen responsivo inspirado en ChatGPT, soporte completo para tema claro/oscuro, microinteracciones y efectos ripple.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Lógica Conversacional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Vanilla JavaScript (ES6+ Modular)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Normalización de texto, motor NLP basado en intenciones semánticas y expresiones regulares, parsing dinámico de Markdown.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Iconografía Vectorial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SVG Inline (Trazo uniforme a 2px)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Iconografía nítida y corporativa que sustituye emojis informales, garantizando coherencia visual técnica en todas las resoluciones.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Orientador Vocacional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Algoritmo Polifactorial JS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Cuestionario interactivo de 6 reactivos con ponderación matricial y cálculo de compatibilidad porcentual con trofeo de resultado.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Motor de Voz Neural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Microsoft Edge TTS (Python) + Web Speech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Síntesis de voz femenina dulce y humana con fallback automático para funcionamiento universal en web estática y servidores locales.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Reconocimiento Vocal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Web Speech Recognition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Dictado por voz mediante micrófono en tiempo real con dialecto español de Perú (es-PE) y detección de silencio.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Almacenamiento Local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Web Storage API (localStorage)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Persistencia del historial de consultas recientes del usuario y preferencias de tema de interfaz.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Despliegue y CDN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GitHub Pages (HTTPS Global)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Alojamiento en la nube con disponibilidad permanente 24/7, certificado SSL activo y CDN de alta velocidad.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7. MOTOR DE HUMANIZACIÓN VOCAL FEMENINA Y DICTADO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Uno de los mayores logros del proyecto es la humanización de la voz de HercarIA, eliminando cualquier sensación de sintetizador robótico antiguo: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Calibración Acústica Agradable y Femenina: </w:t>
      </w:r>
      <w:r>
        <w:rPr>
          <w:rFonts w:ascii="Arial" w:hAnsi="Arial"/>
          <w:color w:val="1E293B"/>
          <w:sz w:val="21"/>
        </w:rPr>
        <w:t>Se calibró la tasa de velocidad en 0.93 y el tono (pitch) en 1.05. Este ajuste acústico produce una cadencia pausada, melodiosa, suave y natural, ideal para la atención y orientación vocacional.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Supresión Total de Sintaxis Markdown y Asteriscos: </w:t>
      </w:r>
      <w:r>
        <w:rPr>
          <w:rFonts w:ascii="Arial" w:hAnsi="Arial"/>
          <w:color w:val="1E293B"/>
          <w:sz w:val="21"/>
        </w:rPr>
        <w:t>Se diseñó un filtro de limpieza previa (regex) que erradica por completo la pronunciación de asteriscos (**), guiones, numerales (#), barras y tablas. La voz habla con lenguaje conversacional limpio mientras la pantalla muestra el texto formateado con viñetas y negritas.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Normalización Fonética de Siglas Institucionales: </w:t>
      </w:r>
      <w:r>
        <w:rPr>
          <w:rFonts w:ascii="Arial" w:hAnsi="Arial"/>
          <w:color w:val="1E293B"/>
          <w:sz w:val="21"/>
        </w:rPr>
        <w:t>El preprocesador vocal traduce términos técnicos antes de llegar al sintetizador: "APSTI" se modula fonéticamente como "Ápsti" o "Arquitectura de Plataformas y Servicios TI", "ANI" como "Ani", "DPA" como "D P A", "S/ 150" como "150 soles", "IESTP" como "Instituto", y "SUNAT" como "Sunat".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Priorización Inteligente de Voces Femeninas: </w:t>
      </w:r>
      <w:r>
        <w:rPr>
          <w:rFonts w:ascii="Arial" w:hAnsi="Arial"/>
          <w:color w:val="1E293B"/>
          <w:sz w:val="21"/>
        </w:rPr>
        <w:t>En la versión web (GitHub Pages y celulares), el sistema analiza las voces instaladas en el dispositivo y selecciona prioritariamente voces dulces en español (Dalia, Camila, Salome, Elvira, Sabina).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Módulo de Audio Desplegable Popover: </w:t>
      </w:r>
      <w:r>
        <w:rPr>
          <w:rFonts w:ascii="Arial" w:hAnsi="Arial"/>
          <w:color w:val="1E293B"/>
          <w:sz w:val="21"/>
        </w:rPr>
        <w:t>En la cabecera superior se incluye el botón minimalista "[ 🔊 🟢 Voz ]". Al hacer clic, despliega un panel flotante donde el usuario puede activar/desactivar la voz, elegir su voz favorita y probar la entonación con el botón "Probar Voz".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Cancelación Instantánea de Ecos y Ruidos: </w:t>
      </w:r>
      <w:r>
        <w:rPr>
          <w:rFonts w:ascii="Arial" w:hAnsi="Arial"/>
          <w:color w:val="1E293B"/>
          <w:sz w:val="21"/>
        </w:rPr>
        <w:t>Se programó la interrupción inmediata de la síntesis vocal al presionar la tecla Escape, al dar clic en el campo de texto o al enviar una nueva consulta, evitando la superposición molesta de audios.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8. REDISEÑO ERGONÓMICO DE LA INTERFAZ DE USUARIO (UI/UX)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Para brindar una experiencia óptima al usuario, se rediseñó la distribución de los componentes eliminando saturaciones visuales: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Menú Lateral Limpio estilo ChatGPT: </w:t>
      </w:r>
      <w:r>
        <w:rPr>
          <w:rFonts w:ascii="Arial" w:hAnsi="Arial"/>
          <w:color w:val="1E293B"/>
          <w:sz w:val="21"/>
        </w:rPr>
        <w:t>El menú lateral (Sidebar) se reservó exclusivamente para las acciones de navegación fundamentales: botón destacado "+ Nueva Conversación", acceso rápido a "Test Vocacional", lista de "Consultas Recientes" y conmutador de "Modo Oscuro".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Botones de Utilidad en Cabecera Superior: </w:t>
      </w:r>
      <w:r>
        <w:rPr>
          <w:rFonts w:ascii="Arial" w:hAnsi="Arial"/>
          <w:color w:val="1E293B"/>
          <w:sz w:val="21"/>
        </w:rPr>
        <w:t>Las funciones operativas se trasladaron a la esquina superior derecha del encabezado, junto al selector de voz: el botón "Guardar Chat" (descarga la transcripción en un archivo .txt con membrete oficial) y el botón "Borrar Chat" (reinicia la sesión de diálogo de manera segura).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Barra de Píldoras de Acceso Rápido (Chips): </w:t>
      </w:r>
      <w:r>
        <w:rPr>
          <w:rFonts w:ascii="Arial" w:hAnsi="Arial"/>
          <w:color w:val="1E293B"/>
          <w:sz w:val="21"/>
        </w:rPr>
        <w:t>Directamente sobre el cuadro de entrada de texto se dispuso una barra horizontal con chips interactivos ("Las 4 Carreras Técnicas", "Registro de Pagos", "Matrícula y Costos 2026", "Mesa de Partes Virtual", "Ubicación y Contacto"). Al presionar un chip, la consulta se envía inmediatamente al chat sin necesidad de teclear.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Navegación Adaptativa de 3 Líneas: </w:t>
      </w:r>
      <w:r>
        <w:rPr>
          <w:rFonts w:ascii="Arial" w:hAnsi="Arial"/>
          <w:color w:val="1E293B"/>
          <w:sz w:val="21"/>
        </w:rPr>
        <w:t>En computadoras de escritorio, el icono de menú colapsa la barra lateral para otorgar el 100% de la pantalla a la conversación. En teléfonos inteligentes, abre un Drawer deslizante con fondo oscuro translúcido y botón táctil de cierre.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9. TEST VOCACIONAL PSICOMÉTRICO INTERACTIVO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sistema incorpora un orientador vocacional desarrollado en js/test_vocacional.js que diagnostica la inclinación profesional del postulante mediante 6 reactivos interactivos: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Pregunta 1 (Intereses Naturales): </w:t>
      </w:r>
      <w:r>
        <w:rPr>
          <w:rFonts w:ascii="Arial" w:hAnsi="Arial"/>
          <w:color w:val="1E293B"/>
          <w:sz w:val="21"/>
        </w:rPr>
        <w:t>Indaga sobre actividades predilectas en tiempo libre (resolver problemas tecnológicos, coordinar proyectos comerciales, organizar finanzas o explorar la fauna marina).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Pregunta 2 (Entorno Laboral Deseado): </w:t>
      </w:r>
      <w:r>
        <w:rPr>
          <w:rFonts w:ascii="Arial" w:hAnsi="Arial"/>
          <w:color w:val="1E293B"/>
          <w:sz w:val="21"/>
        </w:rPr>
        <w:t>Evalúa el ambiente de trabajo preferido (oficinas tecnológicas con servidores, agencias aduaneras portuarias, despachos tributarios o plantas de procesamiento y embarcaciones).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Pregunta 3 (Habilidades Destacadas): </w:t>
      </w:r>
      <w:r>
        <w:rPr>
          <w:rFonts w:ascii="Arial" w:hAnsi="Arial"/>
          <w:color w:val="1E293B"/>
          <w:sz w:val="21"/>
        </w:rPr>
        <w:t>Mide competencias autopercibidas (pensamiento analítico y algoritmos, negociación persuasiva, exactitud numérica y orden, o destreza biológica y trabajo en campo).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Pregunta 4 (Motivación Profesional): </w:t>
      </w:r>
      <w:r>
        <w:rPr>
          <w:rFonts w:ascii="Arial" w:hAnsi="Arial"/>
          <w:color w:val="1E293B"/>
          <w:sz w:val="21"/>
        </w:rPr>
        <w:t>Analiza metas de vida (crear soluciones de software para empresas, impulsar exportaciones regionales hacia mercados globales, liderar la administración contable de grandes corporaciones o innovar en la maricultura sostenible).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Pregunta 5 (Resolución de Conflictos): </w:t>
      </w:r>
      <w:r>
        <w:rPr>
          <w:rFonts w:ascii="Arial" w:hAnsi="Arial"/>
          <w:color w:val="1E293B"/>
          <w:sz w:val="21"/>
        </w:rPr>
        <w:t>Evalúa el estilo de respuesta ante desafíos cotidianos.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Pregunta 6 (Visión de Futuro en Paita): </w:t>
      </w:r>
      <w:r>
        <w:rPr>
          <w:rFonts w:ascii="Arial" w:hAnsi="Arial"/>
          <w:color w:val="1E293B"/>
          <w:sz w:val="21"/>
        </w:rPr>
        <w:t>Conecta las aspiraciones personales con las oportunidades laborales tangibles del puerto de Paita y la Región Piura.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Al culminar la evaluación, el algoritmo calcula el porcentaje de afinidad de las 4 carreras, presenta una tarjeta interactiva con trofeo dorado, detalla el campo laboral en la región y ofrece botones de acción para revisar la malla curricular o conocer los requisitos de matrícula.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10. MEMORIA DE CONSTRUCCIÓN PASO A PASO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El desarrollo de HercarIA se ejecutó siguiendo 6 fases sistemáticas: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Fase 1 (Recopilación e Ingeniería de Conocimiento): </w:t>
      </w:r>
      <w:r>
        <w:rPr>
          <w:rFonts w:ascii="Arial" w:hAnsi="Arial"/>
          <w:color w:val="1E293B"/>
          <w:sz w:val="21"/>
        </w:rPr>
        <w:t>Extracción sistemática de datos desde el portal web oficial ieshercar.edu.pe, TUPA vigente, plataforma de pagos (pagos.ieshercar.edu.pe) y sistema de boletas electrónicas.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Fase 2 (Maquetación y Diseño Visual ChatGPT): </w:t>
      </w:r>
      <w:r>
        <w:rPr>
          <w:rFonts w:ascii="Arial" w:hAnsi="Arial"/>
          <w:color w:val="1E293B"/>
          <w:sz w:val="21"/>
        </w:rPr>
        <w:t>Creación de index.html y css/styles.css con maquetación flexible en pantalla completa, portada hero con tarjetas explicativas y soporte completo para modo oscuro y claro.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Fase 3 (Desarrollo del Motor NLP en JavaScript): </w:t>
      </w:r>
      <w:r>
        <w:rPr>
          <w:rFonts w:ascii="Arial" w:hAnsi="Arial"/>
          <w:color w:val="1E293B"/>
          <w:sz w:val="21"/>
        </w:rPr>
        <w:t>Programación de js/app.js para detectar intenciones de usuario sobre requisitos, gratuidad, carreras, convalidaciones, títulos oficiales y horarios, aplicando normalización de cadenas de texto.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Fase 4 (Implementación del Test Psicométrico): </w:t>
      </w:r>
      <w:r>
        <w:rPr>
          <w:rFonts w:ascii="Arial" w:hAnsi="Arial"/>
          <w:color w:val="1E293B"/>
          <w:sz w:val="21"/>
        </w:rPr>
        <w:t>Codificación de js/test_vocacional.js con cálculo matricial dinámico y tarjetas visuales interactivas.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Fase 5 (Humanización Vocal y Audio Desplegable): </w:t>
      </w:r>
      <w:r>
        <w:rPr>
          <w:rFonts w:ascii="Arial" w:hAnsi="Arial"/>
          <w:color w:val="1E293B"/>
          <w:sz w:val="21"/>
        </w:rPr>
        <w:t>Desarrollo de js/voice.js, integrando Microsoft Edge TTS (Python) y síntesis del navegador con tono femenino dulce, filtros de sintaxis Markdown y dictado por micrófono.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Fase 6 (Despliegue y Control de Versiones en GitHub): </w:t>
      </w:r>
      <w:r>
        <w:rPr>
          <w:rFonts w:ascii="Arial" w:hAnsi="Arial"/>
          <w:color w:val="1E293B"/>
          <w:sz w:val="21"/>
        </w:rPr>
        <w:t>Publicación en el repositorio oficial de GitHub (https://github.com/GMPH2007/HercarBOT) y activación de GitHub Pages para acceso universal y gratuito desde cualquier dispositivo móvil o computadora.</w:t>
      </w:r>
    </w:p>
    <w:p>
      <w:pPr>
        <w:spacing w:before="360" w:after="120"/>
      </w:pPr>
      <w:r>
        <w:rPr>
          <w:rFonts w:ascii="Arial" w:hAnsi="Arial"/>
          <w:b/>
          <w:color w:val="13357B"/>
          <w:sz w:val="28"/>
        </w:rPr>
        <w:t>11. GUÍA DE INSTALACIÓN Y ENLACES OFICIALES</w:t>
      </w:r>
    </w:p>
    <w:p>
      <w:pPr>
        <w:spacing w:after="120" w:line="276" w:lineRule="auto"/>
      </w:pPr>
      <w:r>
        <w:rPr>
          <w:rFonts w:ascii="Arial" w:hAnsi="Arial"/>
          <w:color w:val="1E293B"/>
          <w:sz w:val="21"/>
        </w:rPr>
        <w:t>HercarIA se distribuye en dos modalidades para facilidad de los usuarios: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1. Acceso en Vivo en la Nube (GitHub Pages): </w:t>
      </w:r>
      <w:r>
        <w:rPr>
          <w:rFonts w:ascii="Arial" w:hAnsi="Arial"/>
          <w:color w:val="1E293B"/>
          <w:sz w:val="21"/>
        </w:rPr>
        <w:t>Disponible de forma instantánea sin instalaciones en: https://gmph2007.github.io/HercarBOT/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2. Ejecución Local con 1 Clic (Windows): </w:t>
      </w:r>
      <w:r>
        <w:rPr>
          <w:rFonts w:ascii="Arial" w:hAnsi="Arial"/>
          <w:color w:val="1E293B"/>
          <w:sz w:val="21"/>
        </w:rPr>
        <w:t>Descargar el proyecto desde GitHub y hacer doble clic en el archivo Iniciar_HercarBOT.bat. Este lanzador inicia el microservicio local de voz neural y abre el navegador automáticamente en http://localhost:8080.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Portal Web Oficial del Instituto: </w:t>
      </w:r>
      <w:r>
        <w:rPr>
          <w:rFonts w:ascii="Arial" w:hAnsi="Arial"/>
          <w:color w:val="1E293B"/>
          <w:sz w:val="21"/>
        </w:rPr>
        <w:t>https://ieshercar.edu.pe/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Biblioteca Virtual Institucional: </w:t>
      </w:r>
      <w:r>
        <w:rPr>
          <w:rFonts w:ascii="Arial" w:hAnsi="Arial"/>
          <w:color w:val="1E293B"/>
          <w:sz w:val="21"/>
        </w:rPr>
        <w:t>https://biblioteca.ieshercar.edu.pe/login.php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Plataforma de Pagos y Registro de Vouchers: </w:t>
      </w:r>
      <w:r>
        <w:rPr>
          <w:rFonts w:ascii="Arial" w:hAnsi="Arial"/>
          <w:color w:val="1E293B"/>
          <w:sz w:val="21"/>
        </w:rPr>
        <w:t>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Mesa de Partes Virtual: </w:t>
      </w:r>
      <w:r>
        <w:rPr>
          <w:rFonts w:ascii="Arial" w:hAnsi="Arial"/>
          <w:color w:val="1E293B"/>
          <w:sz w:val="21"/>
        </w:rPr>
        <w:t>https://sistema.ieshercar.edu.pe/registro-tramite/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1E293B"/>
          <w:sz w:val="21"/>
        </w:rPr>
        <w:t xml:space="preserve">Consulta y Descarga de Boletas Electrónicas: </w:t>
      </w:r>
      <w:r>
        <w:rPr>
          <w:rFonts w:ascii="Arial" w:hAnsi="Arial"/>
          <w:color w:val="1E293B"/>
          <w:sz w:val="21"/>
        </w:rPr>
        <w:t>https://sistema.ieshercar.com/Consulta_Boletas/index.php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