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 w:after="40"/>
        <w:jc w:val="center"/>
      </w:pPr>
      <w:r>
        <w:rPr>
          <w:rFonts w:ascii="Arial" w:hAnsi="Arial"/>
          <w:b/>
          <w:color w:val="0A2540"/>
          <w:sz w:val="26"/>
        </w:rPr>
        <w:t>INSTITUTO DE EDUCACIÓN SUPERIOR TECNOLÓGICO PÚBLICO</w:t>
      </w:r>
    </w:p>
    <w:p>
      <w:pPr>
        <w:spacing w:after="80"/>
        <w:jc w:val="center"/>
      </w:pPr>
      <w:r>
        <w:rPr>
          <w:rFonts w:ascii="Arial" w:hAnsi="Arial"/>
          <w:b/>
          <w:color w:val="1D4ED8"/>
          <w:sz w:val="22"/>
        </w:rPr>
        <w:t>PROGRAMA DE ESTUDIOS: ARQUITECTURA DE PLATAFORMAS Y SERVICIOS DE TI</w:t>
      </w:r>
    </w:p>
    <w:p>
      <w:pPr>
        <w:spacing w:after="700"/>
        <w:jc w:val="center"/>
      </w:pPr>
      <w:r>
        <w:rPr>
          <w:color w:val="64748B"/>
        </w:rPr>
        <w:t>____________________________________________________________</w:t>
      </w:r>
    </w:p>
    <w:p>
      <w:pPr>
        <w:spacing w:after="80"/>
        <w:jc w:val="center"/>
      </w:pPr>
      <w:r>
        <w:rPr>
          <w:rFonts w:ascii="Arial" w:hAnsi="Arial"/>
          <w:b/>
          <w:color w:val="64748B"/>
          <w:sz w:val="22"/>
        </w:rPr>
        <w:t>INFORME TÉCNICO DE APRENDIZAJE – SESIÓN DE CLASE</w:t>
      </w:r>
    </w:p>
    <w:p>
      <w:pPr>
        <w:spacing w:before="80" w:after="160"/>
        <w:jc w:val="center"/>
      </w:pPr>
      <w:r>
        <w:rPr>
          <w:rFonts w:ascii="Arial" w:hAnsi="Arial"/>
          <w:b/>
          <w:color w:val="0A2540"/>
          <w:sz w:val="29"/>
        </w:rPr>
        <w:t>SEGURIDAD FÍSICA Y LÓGICA EN UN DATA CENTER</w:t>
        <w:br/>
        <w:t>CASO PRÁCTICO INTEGRAL Y MAPA CONCEPTUAL INFOGRÁFICO</w:t>
      </w:r>
    </w:p>
    <w:p>
      <w:pPr>
        <w:spacing w:after="700"/>
        <w:jc w:val="center"/>
      </w:pPr>
      <w:r>
        <w:rPr>
          <w:rFonts w:ascii="Arial" w:hAnsi="Arial"/>
          <w:i/>
          <w:color w:val="1D4ED8"/>
          <w:sz w:val="20"/>
        </w:rPr>
        <w:t>Aplicación de Estándares Internacionales: ANSI/TIA-942 (Tier III) e ISO/IEC 27001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none"/>
          <w:bottom w:val="single" w:sz="6" w:space="0" w:color="94A3B8"/>
          <w:right w:val="none"/>
          <w:insideH w:val="single" w:sz="4" w:space="0" w:color="94A3B8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A2540"/>
                <w:sz w:val="20"/>
              </w:rPr>
              <w:t>DOCENTE: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20"/>
              </w:rPr>
              <w:t>Prof. Javier Eduardo Jaramillo Atoche</w:t>
            </w:r>
          </w:p>
        </w:tc>
      </w:tr>
      <w:tr>
        <w:tc>
          <w:tcPr>
            <w:tcW w:type="dxa" w:w="2736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A2540"/>
                <w:sz w:val="20"/>
              </w:rPr>
              <w:t>INTEGRANTES: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20"/>
              </w:rPr>
              <w:t>• Gerson Misael Pintado Huamán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1E293B"/>
                <w:sz w:val="20"/>
              </w:rPr>
              <w:t>• Manuel Danilo López Garay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1E293B"/>
                <w:sz w:val="20"/>
              </w:rPr>
              <w:t>• Mariana Juliet Clavijo Pinzón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1E293B"/>
                <w:sz w:val="20"/>
              </w:rPr>
              <w:t>• Pedro Miguel Aguilar Flores</w:t>
            </w:r>
          </w:p>
          <w:p>
            <w:pPr>
              <w:spacing w:before="20" w:after="20"/>
            </w:pPr>
            <w:r>
              <w:rPr>
                <w:rFonts w:ascii="Arial" w:hAnsi="Arial"/>
                <w:color w:val="1E293B"/>
                <w:sz w:val="20"/>
              </w:rPr>
              <w:t>• Dayron Antonio Urbina Zapata</w:t>
            </w:r>
          </w:p>
        </w:tc>
      </w:tr>
      <w:tr>
        <w:tc>
          <w:tcPr>
            <w:tcW w:type="dxa" w:w="2736"/>
            <w:shd w:fill="F1F5F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A2540"/>
                <w:sz w:val="20"/>
              </w:rPr>
              <w:t>SEDE Y AÑO: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E293B"/>
                <w:sz w:val="20"/>
              </w:rPr>
              <w:t>Paita, Piura – Ciclo Lectivo 2026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0A2540"/>
          <w:sz w:val="25"/>
        </w:rPr>
        <w:t>ACTIVIDAD 1: CASO PRÁCTICO DE SEGURIDAD FÍSICA Y LÓGICA EN UN DATA CENTER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2"/>
        </w:rPr>
        <w:t>1.1 Presentación de la Empresa: «FinanSur Data Cloud S.A.C.»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1E293B"/>
          <w:sz w:val="20"/>
        </w:rPr>
        <w:t>«FinanSur Data Cloud S.A.C.» es un centro de procesamiento de datos y hosting corporativo ubicado en la provincia de Paita. Administra una infraestructura crítica compuesta por 10 gabinetes (racks) de alta densidad, alojando bases de datos transaccionales, pasarelas de pago electrónico y sistemas de facturación de entidades financieras, cooperativas de ahorro y empresas agroexportadoras de la región.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1E293B"/>
          <w:sz w:val="20"/>
        </w:rPr>
        <w:t>Por la naturaleza de sus operaciones, la empresa procesa diariamente más de 85,000 transacciones bancarias y comerciales. No obstante, una reciente auditoría y una serie de contingencias pusieron en evidencia que la infraestructura presentaba graves deficiencias de seguridad tanto física como lógica.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2"/>
        </w:rPr>
        <w:t>1.2 Descripción del Incidente Real y Problemática Operativa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1E293B"/>
          <w:sz w:val="20"/>
        </w:rPr>
        <w:t>El incidente detonante ocurrió el pasado 14 de agosto a las 11:20 a.m., originado por un apagón en el alimentador eléctrico industrial de la zona. La cadena de fallos se produjo en tres etapas críticas: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1. Falla Eléctrica y Colapso Térmico: </w:t>
      </w:r>
      <w:r>
        <w:rPr>
          <w:rFonts w:ascii="Arial" w:hAnsi="Arial"/>
          <w:color w:val="1E293B"/>
          <w:sz w:val="20"/>
        </w:rPr>
        <w:t>El banco de UPS monofásicos de la sala técnica, cuyas baterías no habían recibido mantenimiento preventivo en 18 meses, colapsó en apenas 7 minutos. Por su parte, el grupo electrógeno diésel exterior no arrancó de forma automática debido a que el conmutador de transferencia (ATS) había quedado en posición manual tras una revisión técnica previa. La sala quedó sin suministro y los aires acondicionados split domésticos se apagaron. En solo 25 minutos, la temperatura ambiente subió de 21°C a 39°C, activando el apagado de emergencia de los procesadores por sobrecalentamiento.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2. Violación del Perímetro Físico y Accesos Indebidos: </w:t>
      </w:r>
      <w:r>
        <w:rPr>
          <w:rFonts w:ascii="Arial" w:hAnsi="Arial"/>
          <w:color w:val="1E293B"/>
          <w:sz w:val="20"/>
        </w:rPr>
        <w:t>Para acelerar la ventilación de la sala, los operadores abrieron de par en par la única puerta de acceso y colocaron ventiladores convencionales de pedestal. En medio de la confusión, personal de limpieza y proveedores externos de mensajería ingresaron a la sala técnica sin portar credencial, sin registro de bitácora y con libre acceso visual y físico frente a los racks descubiertos.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3. Intrusión Lógica y Ejecución de Malware en Servidores: </w:t>
      </w:r>
      <w:r>
        <w:rPr>
          <w:rFonts w:ascii="Arial" w:hAnsi="Arial"/>
          <w:color w:val="1E293B"/>
          <w:sz w:val="20"/>
        </w:rPr>
        <w:t>Al reanudarse la energía, uno de los servidores de bases de datos reportó un consumo anormal del 100% de CPU y tráfico inusual hacia una IP externa. El análisis forense determinó que un ciberdelincuente aprovechó que el puerto de escritorio remoto RDP (3389) estaba expuesto a Internet sin VPN ni autenticación multifactor (MFA), ejecutando un ataque de diccionario sobre la cuenta genérica «Administrador» e inyectando un script malicioso en la memoria.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4. Impacto Económico y de Reputación: </w:t>
      </w:r>
      <w:r>
        <w:rPr>
          <w:rFonts w:ascii="Arial" w:hAnsi="Arial"/>
          <w:color w:val="1E293B"/>
          <w:sz w:val="20"/>
        </w:rPr>
        <w:t>La caída del servicio se prolongó por 6 horas y media, provocando el bloqueo de transacciones comerciales, penalidades contractuales por S/. 48,000 y el reclamo formal de dos entidades bancarias socias.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66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center_seguridad_fisic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4748B"/>
          <w:sz w:val="17"/>
        </w:rPr>
        <w:t>Figura 1: Diseño e infraestructura de Seguridad Física – Control de acceso en esclusa (Mantrap), biometría, sensores VESDA, Novec 1230 y confinamiento de pasillo frío.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2"/>
        </w:rPr>
        <w:t>1.3 Cuestionario de Análisis del Caso Práctico</w:t>
      </w:r>
    </w:p>
    <w:p>
      <w:pPr>
        <w:spacing w:before="0" w:after="100" w:line="276" w:lineRule="auto"/>
        <w:jc w:val="both"/>
      </w:pPr>
      <w:r>
        <w:rPr>
          <w:rFonts w:ascii="Arial" w:hAnsi="Arial"/>
          <w:b/>
          <w:color w:val="1E293B"/>
          <w:sz w:val="20"/>
        </w:rPr>
        <w:t xml:space="preserve">[Cuestionario] </w:t>
      </w:r>
      <w:r>
        <w:rPr>
          <w:rFonts w:ascii="Arial" w:hAnsi="Arial"/>
          <w:color w:val="1E293B"/>
          <w:sz w:val="20"/>
        </w:rPr>
        <w:t>Pregunta 1: ¿Cuáles fueron las principales fallas de seguridad física identificadas?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1E293B"/>
          <w:sz w:val="20"/>
        </w:rPr>
        <w:t>Respuesta: 1) Control de acceso precario (puerta con chapa simple sin esclusa de seguridad Mantrap ni biometría); 2) Inexistencia de bitácora digital de visitas; 3) Climatización doméstica inadecuada (equipos split sin control de humedad ni redundancia); 4) Suministro eléctrico frágil (UPS sin autonomía certificada, conmutador ATS trabado en manual); y 5) Rociadores de agua en sala TI con riesgo de destrucción de equipos.</w:t>
      </w:r>
    </w:p>
    <w:p>
      <w:pPr>
        <w:spacing w:before="0" w:after="100" w:line="276" w:lineRule="auto"/>
        <w:jc w:val="both"/>
      </w:pPr>
      <w:r>
        <w:rPr>
          <w:rFonts w:ascii="Arial" w:hAnsi="Arial"/>
          <w:b/>
          <w:color w:val="1E293B"/>
          <w:sz w:val="20"/>
        </w:rPr>
        <w:t xml:space="preserve">[Cuestionario] </w:t>
      </w:r>
      <w:r>
        <w:rPr>
          <w:rFonts w:ascii="Arial" w:hAnsi="Arial"/>
          <w:color w:val="1E293B"/>
          <w:sz w:val="20"/>
        </w:rPr>
        <w:t>Pregunta 2: ¿Cuáles fueron las principales brechas de seguridad lógica encontradas?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1E293B"/>
          <w:sz w:val="20"/>
        </w:rPr>
        <w:t>Respuesta: 1) Red plana no segmentada (los servidores compartían el mismo dominio de difusión que las computadoras administrativas y el WiFi); 2) Exposición directa de puertos críticos (RDP 3389) hacia la Internet pública sin túnel VPN; 3) Uso de cuentas compartidas genéricas («Administrador»); 4) Carencia de autenticación de doble factor (MFA); 5) Inexistencia de copias de seguridad inmutables contra Ransomware; y 6) Falta de monitoreo SIEM para detección de anomalías.</w:t>
      </w:r>
    </w:p>
    <w:p>
      <w:pPr>
        <w:spacing w:before="0" w:after="100" w:line="276" w:lineRule="auto"/>
        <w:jc w:val="both"/>
      </w:pPr>
      <w:r>
        <w:rPr>
          <w:rFonts w:ascii="Arial" w:hAnsi="Arial"/>
          <w:b/>
          <w:color w:val="1E293B"/>
          <w:sz w:val="20"/>
        </w:rPr>
        <w:t xml:space="preserve">[Cuestionario] </w:t>
      </w:r>
      <w:r>
        <w:rPr>
          <w:rFonts w:ascii="Arial" w:hAnsi="Arial"/>
          <w:color w:val="1E293B"/>
          <w:sz w:val="20"/>
        </w:rPr>
        <w:t>Pregunta 3: ¿Qué marcos y normas internacionales deben normar la solución?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1E293B"/>
          <w:sz w:val="20"/>
        </w:rPr>
        <w:t>Respuesta: Se fundamenta en dos normas globales: 1) ANSI/TIA-942 (Estándar de Infraestructura de Telecomunicaciones para Data Centers), adoptando el nivel Tier III con mantenimiento concurrente, rutas eléctricas redundantes y equipos N+1; y 2) ISO/IEC 27001 (Sistema de Gestión de Seguridad de la Información), implementando los controles del Anexo A para seguridad física del entorno (A.7) y seguridad operacional y de redes (A.8).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663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center_seguridad_logic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4748B"/>
          <w:sz w:val="17"/>
        </w:rPr>
        <w:t>Figura 2: Centro de Operaciones de Seguridad (SOC) – Monitoreo de Firewall NGFW, segmentación de VLANs, detección de intrusos IDS/IPS y cifrado activo AES-256.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2"/>
        </w:rPr>
        <w:t>1.4 Plan Integral de Soluciones Técnicas Propuestas</w:t>
      </w:r>
    </w:p>
    <w:p>
      <w:pPr>
        <w:spacing w:before="0" w:after="100" w:line="276" w:lineRule="auto"/>
        <w:jc w:val="both"/>
      </w:pPr>
      <w:r>
        <w:rPr>
          <w:rFonts w:ascii="Arial" w:hAnsi="Arial"/>
          <w:b/>
          <w:color w:val="1E293B"/>
          <w:sz w:val="20"/>
        </w:rPr>
        <w:t xml:space="preserve">[EJE FÍSICO] </w:t>
      </w:r>
      <w:r>
        <w:rPr>
          <w:rFonts w:ascii="Arial" w:hAnsi="Arial"/>
          <w:color w:val="1E293B"/>
          <w:sz w:val="20"/>
        </w:rPr>
        <w:t>A. Soluciones en Seguridad Física (Instalaciones y Hardware):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1. Esclusa de Seguridad Interbloqueada (Mantrap) y Biometría: </w:t>
      </w:r>
      <w:r>
        <w:rPr>
          <w:rFonts w:ascii="Arial" w:hAnsi="Arial"/>
          <w:color w:val="1E293B"/>
          <w:sz w:val="20"/>
        </w:rPr>
        <w:t>Instalación de un sistema de doble puerta electrónica donde la segunda puerta solo abre si la primera está completamente cerrada. El acceso exige tarjeta RFID cifrada y lector biométrico (huella dactilar y reconocimiento facial), con registro digital automático de fecha, hora y usuario.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2. Climatización de Precisión con Confinamiento de Pasillos: </w:t>
      </w:r>
      <w:r>
        <w:rPr>
          <w:rFonts w:ascii="Arial" w:hAnsi="Arial"/>
          <w:color w:val="1E293B"/>
          <w:sz w:val="20"/>
        </w:rPr>
        <w:t>Reemplazo de los splits por unidades de aire de precisión en esquema redundante N+1. Se confina el pasillo frío para mantener la temperatura entre 18°C y 22°C y la humedad entre 40% y 60%, con sensores de alarma por inundación bajo el piso técnico.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3. Detección Temprana (VESDA) y Gas Limpio (Novec 1230): </w:t>
      </w:r>
      <w:r>
        <w:rPr>
          <w:rFonts w:ascii="Arial" w:hAnsi="Arial"/>
          <w:color w:val="1E293B"/>
          <w:sz w:val="20"/>
        </w:rPr>
        <w:t>Eliminación de rociadores de agua en la sala técnica. Se instala un sistema de detección temprana por aspiración de humo (VESDA) y extinción automática mediante gas limpio Novec 1230 o FM-200, que sofoca el fuego absorbiendo el calor sin dejar residuos ni conducir electricidad.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4. Redundancia Eléctrica Certificada Tier III: </w:t>
      </w:r>
      <w:r>
        <w:rPr>
          <w:rFonts w:ascii="Arial" w:hAnsi="Arial"/>
          <w:color w:val="1E293B"/>
          <w:sz w:val="20"/>
        </w:rPr>
        <w:t>Doble acometida eléctrica (Rutas A y B), banco de UPS modular trifásico de doble conversión con 45 minutos de autonomía garantizada y conmutador de transferencia automática (ATS) conectado al generador diésel con prueba de encendido semanal programada.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5. Videovigilancia CCTV HD con Visión Infrarroja 24/7: </w:t>
      </w:r>
      <w:r>
        <w:rPr>
          <w:rFonts w:ascii="Arial" w:hAnsi="Arial"/>
          <w:color w:val="1E293B"/>
          <w:sz w:val="20"/>
        </w:rPr>
        <w:t>Cámaras domo IP con sensor de movimiento y visión nocturna en pasillos y racks, con retención mínima de grabaciones por 90 días en almacenamiento protegido.</w:t>
      </w:r>
    </w:p>
    <w:p>
      <w:pPr>
        <w:spacing w:before="0" w:after="100" w:line="276" w:lineRule="auto"/>
        <w:jc w:val="both"/>
      </w:pPr>
      <w:r>
        <w:rPr>
          <w:rFonts w:ascii="Arial" w:hAnsi="Arial"/>
          <w:b/>
          <w:color w:val="1E293B"/>
          <w:sz w:val="20"/>
        </w:rPr>
        <w:t xml:space="preserve">[EJE LÓGICO] </w:t>
      </w:r>
      <w:r>
        <w:rPr>
          <w:rFonts w:ascii="Arial" w:hAnsi="Arial"/>
          <w:color w:val="1E293B"/>
          <w:sz w:val="20"/>
        </w:rPr>
        <w:t>B. Soluciones en Seguridad Lógica (Redes, Sistemas y Datos):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1. Segmentación de Redes (VLANs / DMZ) y Firewall NGFW: </w:t>
      </w:r>
      <w:r>
        <w:rPr>
          <w:rFonts w:ascii="Arial" w:hAnsi="Arial"/>
          <w:color w:val="1E293B"/>
          <w:sz w:val="20"/>
        </w:rPr>
        <w:t>Despliegue de un Firewall de Nueva Generación en clúster activo-pasivo. Se segmenta la infraestructura en VLANs independientes (Gestión, Servidores BD, Aplicaciones DMZ y Usuarios), aplicando una política de denegación por defecto (Drop all by default).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2. Autenticación Multifactor (MFA/2FA) y Control RBAC: </w:t>
      </w:r>
      <w:r>
        <w:rPr>
          <w:rFonts w:ascii="Arial" w:hAnsi="Arial"/>
          <w:color w:val="1E293B"/>
          <w:sz w:val="20"/>
        </w:rPr>
        <w:t>Exigencia estricta de token de seguridad de segundo factor (MFA) para todo acceso a servidores e interfaces administrativas (SSH, RDP, consolas web). Se aplica el principio de menor privilegio (RBAC) con credenciales personales intransferibles.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3. Acceso Remoto Seguro Exclusivo por VPN Cifrada: </w:t>
      </w:r>
      <w:r>
        <w:rPr>
          <w:rFonts w:ascii="Arial" w:hAnsi="Arial"/>
          <w:color w:val="1E293B"/>
          <w:sz w:val="20"/>
        </w:rPr>
        <w:t>Cierre total de los puertos de gestión hacia la red pública Internet. El soporte técnico a distancia se realiza únicamente a través de túneles VPN SSL/IPsec con cifrado AES-256.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4. Detección de Intrusos (IDS/IPS) y Correlación SIEM: </w:t>
      </w:r>
      <w:r>
        <w:rPr>
          <w:rFonts w:ascii="Arial" w:hAnsi="Arial"/>
          <w:color w:val="1E293B"/>
          <w:sz w:val="20"/>
        </w:rPr>
        <w:t>Implementación de firmas de detección y prevención de intrusos (IDS/IPS) para bloquear escaneos de puertos y ataques web en tiempo real. Los registros de auditoría se centralizan en una plataforma SIEM con alertas 24/7.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5. Estrategia de Copias de Seguridad 3-2-1 Inmutables: </w:t>
      </w:r>
      <w:r>
        <w:rPr>
          <w:rFonts w:ascii="Arial" w:hAnsi="Arial"/>
          <w:color w:val="1E293B"/>
          <w:sz w:val="20"/>
        </w:rPr>
        <w:t>3 copias de los datos críticos, en 2 soportes diferentes (almacenamiento local SAN y repositorio en la nube cifrado), con 1 copia fuera de línea e inmutable (WORM - Write Once, Read Many), garantizando la recuperación íntegra ante Ransomware.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2"/>
        </w:rPr>
        <w:t>1.5 Matriz de Control de Riesgos y Resultados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160"/>
            <w:shd w:fill="0A2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Vulnerabilidad Detectada</w:t>
            </w:r>
          </w:p>
        </w:tc>
        <w:tc>
          <w:tcPr>
            <w:tcW w:type="dxa" w:w="2448"/>
            <w:shd w:fill="0A2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Control Físico Aplicado</w:t>
            </w:r>
          </w:p>
        </w:tc>
        <w:tc>
          <w:tcPr>
            <w:tcW w:type="dxa" w:w="2448"/>
            <w:shd w:fill="0A2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Control Lógico Aplicado</w:t>
            </w:r>
          </w:p>
        </w:tc>
        <w:tc>
          <w:tcPr>
            <w:tcW w:type="dxa" w:w="2304"/>
            <w:shd w:fill="0A2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Resultado e Impacto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Ingreso no autorizado de personas a la sala</w:t>
            </w:r>
          </w:p>
        </w:tc>
        <w:tc>
          <w:tcPr>
            <w:tcW w:type="dxa" w:w="244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Esclusa Mantrap con biometría dactilar/facial y CCTV 24/7.</w:t>
            </w:r>
          </w:p>
        </w:tc>
        <w:tc>
          <w:tcPr>
            <w:tcW w:type="dxa" w:w="244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Bloqueo automático de sesiones inactivas y log en SIEM.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Cero ingresos indebidos; registro del 100% de accesos.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Corte eléctrico e interrupción del servicio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UPS modular trifásico N+1 y generador diésel con ATS automático.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Scripts de apagado ordenado automatizado si se agota la batería.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Disponibilidad 99.98% (SLA cumplido sin caídas no planeadas).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Ataque de fuerza bruta por puerto RDP</w:t>
            </w:r>
          </w:p>
        </w:tc>
        <w:tc>
          <w:tcPr>
            <w:tcW w:type="dxa" w:w="244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Cerradura de seguridad en puertas frontales y posteriores de racks.</w:t>
            </w:r>
          </w:p>
        </w:tc>
        <w:tc>
          <w:tcPr>
            <w:tcW w:type="dxa" w:w="244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Firewall NGFW, cierre de puertos, VPN obligatoria y MFA activo.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Bloqueo total de conexiones directas; neutralización de intrusiones.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Riesgo de sobrecalentamiento e incendio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Aire de precisión N+1 pasillo frío y extinción por gas Novec 1230.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Monitoreo de temperatura por SNMP con alertas automáticas (SMS/Mail).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 w:line="276" w:lineRule="auto"/>
              <w:jc w:val="both"/>
            </w:pPr>
            <w:r>
              <w:rPr>
                <w:rFonts w:ascii="Arial" w:hAnsi="Arial"/>
                <w:color w:val="1E293B"/>
                <w:sz w:val="16"/>
              </w:rPr>
              <w:t>Preservación íntegra del hardware ante emergencias térmicas.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0A2540"/>
          <w:sz w:val="25"/>
        </w:rPr>
        <w:t>ACTIVIDAD 2: MAPA CONCEPTUAL DEL TEMA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2"/>
        </w:rPr>
        <w:t>2.1 Representación Gráfica Infográfica del Mapa Conceptual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1E293B"/>
          <w:sz w:val="20"/>
        </w:rPr>
        <w:t>A continuación se presenta el mapa conceptual en formato infográfico de alta definición, diseñado para ilustrar de forma clara, moderna y jerárquica la articulación de la Seguridad Física y de la Seguridad Lógica bajo el marco integral de protección de Centros de Datos: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683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conceptual_infografi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4748B"/>
          <w:sz w:val="17"/>
        </w:rPr>
        <w:t>Figura 3: Mapa Conceptual Infográfico de Seguridad Física y Lógica en un Data Center (Marco Integral CID – ISO/IEC 27001 y ANSI/TIA-942 Tier III).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2"/>
        </w:rPr>
        <w:t>2.2 Estructura Jerárquica y Desglose por Niveles</w:t>
      </w:r>
    </w:p>
    <w:p>
      <w:pPr>
        <w:spacing w:before="0" w:after="100" w:line="276" w:lineRule="auto"/>
        <w:jc w:val="both"/>
      </w:pPr>
      <w:r>
        <w:rPr>
          <w:rFonts w:ascii="Arial" w:hAnsi="Arial"/>
          <w:color w:val="1E293B"/>
          <w:sz w:val="20"/>
        </w:rPr>
        <w:t>El mapa conceptual se articula a través de cuatro niveles jerárquicos que interconectan la teoría con la práctica operativa: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Nivel 1 – Núcleo Conceptual:: </w:t>
      </w:r>
      <w:r>
        <w:rPr>
          <w:rFonts w:ascii="Arial" w:hAnsi="Arial"/>
          <w:color w:val="1E293B"/>
          <w:sz w:val="20"/>
        </w:rPr>
        <w:t>SEGURIDAD EN EL DATA CENTER. Representa el objetivo fundamental: salvaguardar los activos de hardware, software y comunicaciones garantizando la tríada CID (Confidencialidad, Integridad y Disponibilidad).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Nivel 2 – Grandes Dimensiones:: </w:t>
      </w:r>
      <w:r>
        <w:rPr>
          <w:rFonts w:ascii="Arial" w:hAnsi="Arial"/>
          <w:color w:val="1E293B"/>
          <w:sz w:val="20"/>
        </w:rPr>
        <w:t>Se bifurca en dos ramas de igual criticidad: 1) SEGURIDAD FÍSICA (protección de activos tangibles, salas, accesos y factores ambientales) y 2) SEGURIDAD LÓGICA (protección de activos virtuales, redes, sistemas y datos contra ataques digitales).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Nivel 3A – Pilares Físicos:: </w:t>
      </w:r>
      <w:r>
        <w:rPr>
          <w:rFonts w:ascii="Arial" w:hAnsi="Arial"/>
          <w:color w:val="1E293B"/>
          <w:sz w:val="20"/>
        </w:rPr>
        <w:t>Comprende cinco componentes de protección física: 1) Biometría y control perimetral; 2) Vigilancia CCTV 24/7; 3) Climatización HVAC de precisión; 4) Extinción por gas limpio; y 5) Respaldo eléctrico continuo.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Nivel 3B – Pilares Lógicos:: </w:t>
      </w:r>
      <w:r>
        <w:rPr>
          <w:rFonts w:ascii="Arial" w:hAnsi="Arial"/>
          <w:color w:val="1E293B"/>
          <w:sz w:val="20"/>
        </w:rPr>
        <w:t>Comprende cinco componentes de protección lógica: 1) Firewall NGFW perimetral; 2) Segmentación por VLANs; 3) Autenticación Multifactor (MFA); 4) Cifrado integral AES-256; y 5) Copias de seguridad en la nube (Cloud Backup).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Nivel 4 – Mecanismos Tecnológicos:: </w:t>
      </w:r>
      <w:r>
        <w:rPr>
          <w:rFonts w:ascii="Arial" w:hAnsi="Arial"/>
          <w:color w:val="1E293B"/>
          <w:sz w:val="20"/>
        </w:rPr>
        <w:t>Implementa controles específicos como esclusas Mantrap, sensores VESDA, gas Novec 1230, UPS modular trifásico, ATS automático, políticas Drop All, tokens MFA, VPN IPsec y almacenamiento inmutable WORM.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2"/>
        </w:rPr>
        <w:t>2.3 Glosario Técnico de Términos del Mapa Conceptual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4896"/>
        <w:gridCol w:w="4896"/>
      </w:tblGrid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A2540"/>
                <w:sz w:val="18"/>
              </w:rPr>
              <w:t>Esclusa (Mantrap)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Sistema de control de acceso físico con dos puertas interbloqueadas donde una no puede abrirse si la otra no está totalmente cerrada.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A2540"/>
                <w:sz w:val="18"/>
              </w:rPr>
              <w:t>VESDA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Sistema de detección de humo por aspiración de muy alta sensibilidad que detecta partículas microscópicas antes de que aparezca llama abierta.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A2540"/>
                <w:sz w:val="18"/>
              </w:rPr>
              <w:t>Novec 1230 / FM-200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Gases limpios de extinción que sofocan el conato de fuego absorbiendo el calor sin dejar residuos, sin ser conductores de electricidad y sin dañar la electrónica.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A2540"/>
                <w:sz w:val="18"/>
              </w:rPr>
              <w:t>Conmutador ATS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Interruptor de transferencia automática que detecta la caída de la energía pública y enciende el generador diésel transfiriendo la carga sin intervención humana.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A2540"/>
                <w:sz w:val="18"/>
              </w:rPr>
              <w:t>Firewall NGFW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Cortafuegos de nueva generación que analiza el tráfico a nivel de aplicación (Capa 7), integrando antivirus, prevención de intrusos (IPS) y filtrado web.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A2540"/>
                <w:sz w:val="18"/>
              </w:rPr>
              <w:t>Autenticación MFA / 2FA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Mecanismo de seguridad que exige al menos dos factores distintos para validar la identidad (algo que sabe: contraseña, y algo que tiene: token/código).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A2540"/>
                <w:sz w:val="18"/>
              </w:rPr>
              <w:t>Inmutabilidad WORM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Propiedad de almacenamiento (Write Once, Read Many) que impide que una copia de respaldo sea modificada, sobreescrita o borrada por un ataque de Ransomware.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A2540"/>
          <w:sz w:val="25"/>
        </w:rPr>
        <w:t>CONCLUSIONES Y RECOMENDACIONES GENERALES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Indisociabilidad de Ambas Dimensiones: </w:t>
      </w:r>
      <w:r>
        <w:rPr>
          <w:rFonts w:ascii="Arial" w:hAnsi="Arial"/>
          <w:color w:val="1E293B"/>
          <w:sz w:val="20"/>
        </w:rPr>
        <w:t>La seguridad física y la seguridad lógica son dos caras de la misma moneda. Blindar la red con firewalls y cifrado resulta estéril si cualquier persona puede ingresar a la sala y desconectar un servidor; de igual modo, un centro acorazado con biometría es inútil si los puertos de administración están abiertos a Internet sin protección.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Criterio de Redundancia y Continuidad (Tier III): </w:t>
      </w:r>
      <w:r>
        <w:rPr>
          <w:rFonts w:ascii="Arial" w:hAnsi="Arial"/>
          <w:color w:val="1E293B"/>
          <w:sz w:val="20"/>
        </w:rPr>
        <w:t>En centros de cómputo que manejan operaciones críticas, no debe existir ningún punto único de falla (SPOF - Single Point of Failure). La duplicidad de rutas eléctricas (UPS y generadores) y la climatización N+1 son requisitos indispensables para cumplir con los acuerdos de nivel de servicio (SLA).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Evolución hacia la Inmutabilidad de los Datos: </w:t>
      </w:r>
      <w:r>
        <w:rPr>
          <w:rFonts w:ascii="Arial" w:hAnsi="Arial"/>
          <w:color w:val="1E293B"/>
          <w:sz w:val="20"/>
        </w:rPr>
        <w:t>Frente al crecimiento de amenazas avanzadas como el Ransomware corporativo, las copias de seguridad tradicionales son insuficientes. Es mandatorio implementar esquemas de respaldo inmutables (WORM) y almacenamiento fuera de línea bajo la regla 3-2-1.</w:t>
      </w:r>
    </w:p>
    <w:p>
      <w:pPr>
        <w:pStyle w:val="ListBullet"/>
        <w:spacing w:before="20" w:after="60" w:line="276" w:lineRule="auto"/>
        <w:jc w:val="both"/>
      </w:pPr>
      <w:r>
        <w:rPr>
          <w:rFonts w:ascii="Arial" w:hAnsi="Arial"/>
          <w:b/>
          <w:color w:val="0A2540"/>
          <w:sz w:val="20"/>
        </w:rPr>
        <w:t xml:space="preserve">Mantenimiento y Auditoría Periódica: </w:t>
      </w:r>
      <w:r>
        <w:rPr>
          <w:rFonts w:ascii="Arial" w:hAnsi="Arial"/>
          <w:color w:val="1E293B"/>
          <w:sz w:val="20"/>
        </w:rPr>
        <w:t>La seguridad de un Data Center no concluye con la compra de equipos; exige pruebas periódicas de arranque de generadores, simulacros de contingencia, revisión semanal de bitácoras de acceso y auditorías continuas bajo la norma ISO/IEC 27001.</w:t>
      </w:r>
    </w:p>
    <w:p>
      <w:pPr>
        <w:spacing w:before="500"/>
        <w:jc w:val="center"/>
      </w:pPr>
      <w:r>
        <w:rPr>
          <w:rFonts w:ascii="Arial" w:hAnsi="Arial"/>
          <w:b/>
          <w:color w:val="64748B"/>
          <w:sz w:val="19"/>
        </w:rPr>
        <w:t>— FIN DEL INFORME TÉCNICO —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