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해외유입 확진자 제외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 산업체와 코로나 감염의 상관관계를 분석하기 때문에 해외유입 확진자를 제외함. 해외유입 확진자로부터 발생한 2차 감염 사례는 2020.07.18 기준 전체 사례에서 단 7건에 불과하기 때문에 1차 해외유입 사례만 데이터에서 제외함.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Malgun Gothic" w:cs="Malgun Gothic" w:eastAsia="Malgun Gothic" w:hAnsi="Malgun Gothic"/>
          <w:color w:val="111111"/>
          <w:highlight w:val="white"/>
          <w:rtl w:val="0"/>
        </w:rPr>
        <w:t xml:space="preserve">"해외유입 2차 감염 7건"...추가 전파는 없어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https://www.ytn.co.kr/_ln/0103_202007181550427761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상관관계 분석에서 7건의 해외유입 감염 사례가 포함되었다는 한계가 있음.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시군구별 확진자수 측정시 재확진의 경우 중복하여 확진자수 계수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시군청의 외국인 제외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해외유입의 2,3차 감염 제외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tn.co.kr/_ln/0103_202007181550427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