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A966" w14:textId="77777777" w:rsidR="006115E6" w:rsidRPr="00BE4242" w:rsidRDefault="006115E6" w:rsidP="0051609B">
      <w:pPr>
        <w:pStyle w:val="whitespace-normal"/>
        <w:rPr>
          <w:b/>
          <w:bCs/>
          <w:kern w:val="36"/>
        </w:rPr>
      </w:pPr>
      <w:r w:rsidRPr="00BE4242">
        <w:rPr>
          <w:b/>
          <w:bCs/>
          <w:kern w:val="36"/>
        </w:rPr>
        <w:t xml:space="preserve">Sistema Automatizado para Monitoramento da Saúde da Vegetação com NDVI e Redes Neurais </w:t>
      </w:r>
      <w:proofErr w:type="spellStart"/>
      <w:r w:rsidRPr="00BE4242">
        <w:rPr>
          <w:b/>
          <w:bCs/>
          <w:kern w:val="36"/>
        </w:rPr>
        <w:t>Convolucionais</w:t>
      </w:r>
      <w:proofErr w:type="spellEnd"/>
    </w:p>
    <w:p w14:paraId="66D52D6D" w14:textId="599D9262" w:rsidR="0051609B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t>Resumo</w:t>
      </w:r>
    </w:p>
    <w:p w14:paraId="1B3CA1EA" w14:textId="77777777" w:rsidR="0051609B" w:rsidRDefault="0051609B" w:rsidP="0051609B">
      <w:pPr>
        <w:pStyle w:val="whitespace-normal"/>
      </w:pPr>
      <w:r>
        <w:t xml:space="preserve">Este artigo apresenta um sistema integrado para classificação de cobertura vegetal utilizando índices espectrais derivados de imagens Sentinel-2, com foco em processamento automatizado via Google Earth </w:t>
      </w:r>
      <w:proofErr w:type="spellStart"/>
      <w:r>
        <w:t>Engine</w:t>
      </w:r>
      <w:proofErr w:type="spellEnd"/>
      <w:r>
        <w:t xml:space="preserve"> (GEE) e classificação baseada em redes neurais </w:t>
      </w:r>
      <w:proofErr w:type="spellStart"/>
      <w:r>
        <w:t>convolucionais</w:t>
      </w:r>
      <w:proofErr w:type="spellEnd"/>
      <w:r>
        <w:t xml:space="preserve"> (CNN). O sistema implementa uma metodologia completa desde a aquisição de dados até a análise final, incluindo o cálculo de múltiplos índices espectrais, geração de amostras representativas de diversas regiões globais, treinamento de modelo CNN e implantação de interface interativa. Os resultados demonstram a eficácia do sistema na classificação automática e análise de saúde vegetal, com aplicações em monitoramento ambiental, agricultura de precisão e gestão territorial. Os desafios identificados incluem a heterogeneidade de paisagens, variabilidade temporal e necessidade de interpretação contextual dos índices de vegetação em diferentes biomas.</w:t>
      </w:r>
    </w:p>
    <w:p w14:paraId="601CCBB8" w14:textId="77777777" w:rsidR="00BE4242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t>Palavras-chave</w:t>
      </w:r>
    </w:p>
    <w:p w14:paraId="001C5665" w14:textId="2AAE3854" w:rsidR="0051609B" w:rsidRDefault="00BE4242" w:rsidP="0051609B">
      <w:pPr>
        <w:pStyle w:val="whitespace-normal"/>
      </w:pPr>
      <w:r>
        <w:t>S</w:t>
      </w:r>
      <w:r w:rsidR="0051609B">
        <w:t xml:space="preserve">ensoriamento remoto, redes neurais </w:t>
      </w:r>
      <w:proofErr w:type="spellStart"/>
      <w:r w:rsidR="0051609B">
        <w:t>convolucionais</w:t>
      </w:r>
      <w:proofErr w:type="spellEnd"/>
      <w:r w:rsidR="0051609B">
        <w:t xml:space="preserve">, NDVI, Google Earth </w:t>
      </w:r>
      <w:proofErr w:type="spellStart"/>
      <w:r w:rsidR="0051609B">
        <w:t>Engine</w:t>
      </w:r>
      <w:proofErr w:type="spellEnd"/>
      <w:r w:rsidR="0051609B">
        <w:t>, monitoramento ambiental</w:t>
      </w:r>
    </w:p>
    <w:p w14:paraId="5A2AFFA3" w14:textId="5B88704C" w:rsidR="0051609B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t>1.Introdução</w:t>
      </w:r>
    </w:p>
    <w:p w14:paraId="356EC746" w14:textId="4C9E558E" w:rsidR="005D5227" w:rsidRDefault="005D5227" w:rsidP="005D5227">
      <w:pPr>
        <w:pStyle w:val="whitespace-normal"/>
      </w:pPr>
      <w:r>
        <w:t>O monitoramento da cobertura vegetal em escala global representa um desafio significativo para compreensão de processos ecológicos, avaliação de impactos ambientais e gestão territorial sustentável [</w:t>
      </w:r>
      <w:r w:rsidR="00F77B07">
        <w:t>1</w:t>
      </w:r>
      <w:r>
        <w:t>]. O sensoriamento remoto tem se consolidado como ferramenta indispensável para análise da vegetação em escalas regionais e globais, possibilitando o acompanhamento temporal e espacial de ecossistemas [</w:t>
      </w:r>
      <w:r w:rsidR="00F77B07">
        <w:t>2</w:t>
      </w:r>
      <w:r>
        <w:t>].</w:t>
      </w:r>
    </w:p>
    <w:p w14:paraId="75DFA20A" w14:textId="081E321F" w:rsidR="005D5227" w:rsidRDefault="005D5227" w:rsidP="005D5227">
      <w:pPr>
        <w:pStyle w:val="whitespace-normal"/>
      </w:pPr>
      <w:r>
        <w:t xml:space="preserve">Os índices espectrais derivados de imagens de satélite, como o Índice de Vegetação por Diferença Normalizada (NDVI), são amplamente utilizados para avaliar a saúde e distribuição da vegetação [3]. O programa </w:t>
      </w:r>
      <w:proofErr w:type="spellStart"/>
      <w:r>
        <w:t>Copernicus</w:t>
      </w:r>
      <w:proofErr w:type="spellEnd"/>
      <w:r>
        <w:t xml:space="preserve"> e os satélites Sentinel-2, com sensores multiespectrais de alta resolução, ampliaram as possibilidades de monitoramento detalhado da vegetação [4]. Simultaneamente, plataformas como o Google Earth </w:t>
      </w:r>
      <w:proofErr w:type="spellStart"/>
      <w:r>
        <w:t>Engine</w:t>
      </w:r>
      <w:proofErr w:type="spellEnd"/>
      <w:r>
        <w:t xml:space="preserve"> (GEE) transformaram a capacidade de processamento de grandes volumes de dados, permitindo análises em escala planetária [</w:t>
      </w:r>
      <w:r w:rsidR="00F77B07">
        <w:t>5</w:t>
      </w:r>
      <w:r>
        <w:t>].</w:t>
      </w:r>
    </w:p>
    <w:p w14:paraId="4B4E3E36" w14:textId="23EB7358" w:rsidR="005D5227" w:rsidRDefault="005D5227" w:rsidP="005D5227">
      <w:pPr>
        <w:pStyle w:val="whitespace-normal"/>
      </w:pPr>
      <w:r>
        <w:t>Os avanços em aprendizado de máquina, particularmente em redes neurais profundas, têm revolucionado a capacidade de extrair informações significativas de dados de sensoriamento remoto [</w:t>
      </w:r>
      <w:r w:rsidR="00F77B07">
        <w:t>6</w:t>
      </w:r>
      <w:r>
        <w:t xml:space="preserve">]. As redes neurais </w:t>
      </w:r>
      <w:proofErr w:type="spellStart"/>
      <w:r>
        <w:t>convolucionais</w:t>
      </w:r>
      <w:proofErr w:type="spellEnd"/>
      <w:r>
        <w:t xml:space="preserve"> (</w:t>
      </w:r>
      <w:proofErr w:type="spellStart"/>
      <w:r>
        <w:t>CNNs</w:t>
      </w:r>
      <w:proofErr w:type="spellEnd"/>
      <w:r>
        <w:t>) demonstram desempenho excepcional em classificação e segmentação de imagens de satélite, superando métodos tradicionais [</w:t>
      </w:r>
      <w:r w:rsidR="00F77B07">
        <w:t>7</w:t>
      </w:r>
      <w:r>
        <w:t>].</w:t>
      </w:r>
    </w:p>
    <w:p w14:paraId="5225FAB4" w14:textId="1CDFA874" w:rsidR="0051609B" w:rsidRDefault="0051609B" w:rsidP="005D5227">
      <w:pPr>
        <w:pStyle w:val="whitespace-normal"/>
      </w:pPr>
      <w:r>
        <w:t xml:space="preserve">Neste contexto, o presente trabalho apresenta um sistema integrado para classificação e análise da cobertura vegetal baseado em índices espectrais derivados de imagens Sentinel-2, utilizando </w:t>
      </w:r>
      <w:proofErr w:type="spellStart"/>
      <w:r>
        <w:t>CNNs</w:t>
      </w:r>
      <w:proofErr w:type="spellEnd"/>
      <w:r>
        <w:t xml:space="preserve"> treinadas com dados obtidos via Google Earth </w:t>
      </w:r>
      <w:proofErr w:type="spellStart"/>
      <w:r>
        <w:t>Engine</w:t>
      </w:r>
      <w:proofErr w:type="spellEnd"/>
      <w:r>
        <w:t>.</w:t>
      </w:r>
    </w:p>
    <w:p w14:paraId="256CFB15" w14:textId="77777777" w:rsidR="0051609B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lastRenderedPageBreak/>
        <w:t>2. Metodologia</w:t>
      </w:r>
    </w:p>
    <w:p w14:paraId="60E9173D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2.1 Visão Geral do Sistema</w:t>
      </w:r>
    </w:p>
    <w:p w14:paraId="692D6B5B" w14:textId="77777777" w:rsidR="0051609B" w:rsidRDefault="0051609B" w:rsidP="0051609B">
      <w:pPr>
        <w:pStyle w:val="whitespace-normal"/>
      </w:pPr>
      <w:r>
        <w:t>O sistema desenvolvido consiste em um pipeline completo para análise da cobertura vegetal, estruturado em cinco componentes principais:</w:t>
      </w:r>
    </w:p>
    <w:p w14:paraId="0E7C66FE" w14:textId="77777777" w:rsidR="0051609B" w:rsidRDefault="0051609B" w:rsidP="0051609B">
      <w:pPr>
        <w:pStyle w:val="whitespace-normal"/>
        <w:numPr>
          <w:ilvl w:val="0"/>
          <w:numId w:val="25"/>
        </w:numPr>
      </w:pPr>
      <w:r>
        <w:rPr>
          <w:rStyle w:val="Forte"/>
        </w:rPr>
        <w:t>Aquisição e pré-processamento de dados</w:t>
      </w:r>
      <w:r>
        <w:t xml:space="preserve">: Integração com Google Earth </w:t>
      </w:r>
      <w:proofErr w:type="spellStart"/>
      <w:r>
        <w:t>Engine</w:t>
      </w:r>
      <w:proofErr w:type="spellEnd"/>
      <w:r>
        <w:t xml:space="preserve"> para seleção, filtragem e composição de imagens Sentinel-2;</w:t>
      </w:r>
    </w:p>
    <w:p w14:paraId="5587C516" w14:textId="77777777" w:rsidR="0051609B" w:rsidRDefault="0051609B" w:rsidP="0051609B">
      <w:pPr>
        <w:pStyle w:val="whitespace-normal"/>
        <w:numPr>
          <w:ilvl w:val="0"/>
          <w:numId w:val="25"/>
        </w:numPr>
      </w:pPr>
      <w:r>
        <w:rPr>
          <w:rStyle w:val="Forte"/>
        </w:rPr>
        <w:t>Cálculo de índices espectrais</w:t>
      </w:r>
      <w:r>
        <w:t>: Implementação de algoritmos para extração de índices relacionados à vegetação e água;</w:t>
      </w:r>
    </w:p>
    <w:p w14:paraId="54A0BA47" w14:textId="77777777" w:rsidR="0051609B" w:rsidRDefault="0051609B" w:rsidP="0051609B">
      <w:pPr>
        <w:pStyle w:val="whitespace-normal"/>
        <w:numPr>
          <w:ilvl w:val="0"/>
          <w:numId w:val="25"/>
        </w:numPr>
      </w:pPr>
      <w:r>
        <w:rPr>
          <w:rStyle w:val="Forte"/>
        </w:rPr>
        <w:t>Geração de amostras e treinamento</w:t>
      </w:r>
      <w:r>
        <w:t>: Coleta de amostras representativas e treinamento de modelo CNN;</w:t>
      </w:r>
    </w:p>
    <w:p w14:paraId="3517151A" w14:textId="77777777" w:rsidR="0051609B" w:rsidRDefault="0051609B" w:rsidP="0051609B">
      <w:pPr>
        <w:pStyle w:val="whitespace-normal"/>
        <w:numPr>
          <w:ilvl w:val="0"/>
          <w:numId w:val="25"/>
        </w:numPr>
      </w:pPr>
      <w:r>
        <w:rPr>
          <w:rStyle w:val="Forte"/>
        </w:rPr>
        <w:t>Classificação e análise</w:t>
      </w:r>
      <w:r>
        <w:t>: Aplicação do modelo treinado ou classificação baseada em limiares para análise da cobertura vegetal;</w:t>
      </w:r>
    </w:p>
    <w:p w14:paraId="51916215" w14:textId="77777777" w:rsidR="0051609B" w:rsidRDefault="0051609B" w:rsidP="0051609B">
      <w:pPr>
        <w:pStyle w:val="whitespace-normal"/>
        <w:numPr>
          <w:ilvl w:val="0"/>
          <w:numId w:val="25"/>
        </w:numPr>
      </w:pPr>
      <w:r>
        <w:rPr>
          <w:rStyle w:val="Forte"/>
        </w:rPr>
        <w:t>Visualização e interface</w:t>
      </w:r>
      <w:r>
        <w:t>: Desenvolvimento de interface interativa para aplicação prática.</w:t>
      </w:r>
    </w:p>
    <w:p w14:paraId="516C9F16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2.2 Aquisição e Pré-processamento de Dados</w:t>
      </w:r>
    </w:p>
    <w:p w14:paraId="4F1FF891" w14:textId="77777777" w:rsidR="0051609B" w:rsidRDefault="0051609B" w:rsidP="0051609B">
      <w:pPr>
        <w:pStyle w:val="whitespace-normal"/>
      </w:pPr>
      <w:r>
        <w:t xml:space="preserve">A aquisição de dados baseia-se na plataforma Google Earth </w:t>
      </w:r>
      <w:proofErr w:type="spellStart"/>
      <w:r>
        <w:t>Engine</w:t>
      </w:r>
      <w:proofErr w:type="spellEnd"/>
      <w:r>
        <w:t xml:space="preserve"> (GEE), com acesso ao catálogo de imagens Sentinel-2 nível 2A (com correção atmosférica). O processo inclui:</w:t>
      </w:r>
    </w:p>
    <w:p w14:paraId="188FA9E5" w14:textId="77777777" w:rsidR="0051609B" w:rsidRDefault="0051609B" w:rsidP="0051609B">
      <w:pPr>
        <w:pStyle w:val="whitespace-normal"/>
        <w:numPr>
          <w:ilvl w:val="0"/>
          <w:numId w:val="26"/>
        </w:numPr>
      </w:pPr>
      <w:r>
        <w:rPr>
          <w:rStyle w:val="Forte"/>
        </w:rPr>
        <w:t>Definição de regiões de interesse</w:t>
      </w:r>
      <w:r>
        <w:t>: Seleção de 13 regiões representativas globalmente, abrangendo diferentes biomas e tipos de cobertura vegetal;</w:t>
      </w:r>
    </w:p>
    <w:p w14:paraId="5A757A26" w14:textId="77777777" w:rsidR="0051609B" w:rsidRDefault="0051609B" w:rsidP="0051609B">
      <w:pPr>
        <w:pStyle w:val="whitespace-normal"/>
        <w:numPr>
          <w:ilvl w:val="0"/>
          <w:numId w:val="26"/>
        </w:numPr>
      </w:pPr>
      <w:r>
        <w:rPr>
          <w:rStyle w:val="Forte"/>
        </w:rPr>
        <w:t>Filtragem temporal e de qualidade</w:t>
      </w:r>
      <w:r>
        <w:t>: Seleção de imagens com baixa cobertura de nuvens (&lt;20%);</w:t>
      </w:r>
    </w:p>
    <w:p w14:paraId="67DBFA57" w14:textId="77777777" w:rsidR="0051609B" w:rsidRDefault="0051609B" w:rsidP="0051609B">
      <w:pPr>
        <w:pStyle w:val="whitespace-normal"/>
        <w:numPr>
          <w:ilvl w:val="0"/>
          <w:numId w:val="26"/>
        </w:numPr>
      </w:pPr>
      <w:r>
        <w:rPr>
          <w:rStyle w:val="Forte"/>
        </w:rPr>
        <w:t>Composição de imagens</w:t>
      </w:r>
      <w:r>
        <w:t>: Geração de composições utilizando as imagens de melhor qualidade (mediana das 5 melhores imagens);</w:t>
      </w:r>
    </w:p>
    <w:p w14:paraId="7D1FC314" w14:textId="77777777" w:rsidR="0051609B" w:rsidRDefault="0051609B" w:rsidP="0051609B">
      <w:pPr>
        <w:pStyle w:val="whitespace-normal"/>
        <w:numPr>
          <w:ilvl w:val="0"/>
          <w:numId w:val="26"/>
        </w:numPr>
      </w:pPr>
      <w:r>
        <w:rPr>
          <w:rStyle w:val="Forte"/>
        </w:rPr>
        <w:t>Normalização</w:t>
      </w:r>
      <w:r>
        <w:t xml:space="preserve">: Utilização de imagens com correção atmosférica (coleção Sentinel-2 SR </w:t>
      </w:r>
      <w:proofErr w:type="spellStart"/>
      <w:r>
        <w:t>Harmonized</w:t>
      </w:r>
      <w:proofErr w:type="spellEnd"/>
      <w:r>
        <w:t>).</w:t>
      </w:r>
    </w:p>
    <w:p w14:paraId="468BD08C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2.3 Índices Espectrais Implementados</w:t>
      </w:r>
    </w:p>
    <w:p w14:paraId="7CCC757B" w14:textId="77777777" w:rsidR="0051609B" w:rsidRDefault="0051609B" w:rsidP="0051609B">
      <w:pPr>
        <w:pStyle w:val="whitespace-normal"/>
      </w:pPr>
      <w:r>
        <w:t>O sistema calcula cinco índices espectrais principais:</w:t>
      </w:r>
    </w:p>
    <w:p w14:paraId="4AC3DBBB" w14:textId="77777777" w:rsidR="0051609B" w:rsidRDefault="0051609B" w:rsidP="0051609B">
      <w:pPr>
        <w:pStyle w:val="whitespace-normal"/>
        <w:numPr>
          <w:ilvl w:val="0"/>
          <w:numId w:val="27"/>
        </w:numPr>
      </w:pPr>
      <w:r>
        <w:rPr>
          <w:rStyle w:val="Forte"/>
        </w:rPr>
        <w:t>NDVI (</w:t>
      </w:r>
      <w:proofErr w:type="spellStart"/>
      <w:r>
        <w:rPr>
          <w:rStyle w:val="Forte"/>
        </w:rPr>
        <w:t>Normalized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Difference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Vegetation</w:t>
      </w:r>
      <w:proofErr w:type="spellEnd"/>
      <w:r>
        <w:rPr>
          <w:rStyle w:val="Forte"/>
        </w:rPr>
        <w:t xml:space="preserve"> Index)</w:t>
      </w:r>
      <w:r>
        <w:t>: NDVI = (B8 - B4) / (B8 + B4) onde B8 é a banda do infravermelho próximo e B4 a banda do vermelho.</w:t>
      </w:r>
    </w:p>
    <w:p w14:paraId="56D16C13" w14:textId="77777777" w:rsidR="0051609B" w:rsidRDefault="0051609B" w:rsidP="0051609B">
      <w:pPr>
        <w:pStyle w:val="whitespace-normal"/>
        <w:numPr>
          <w:ilvl w:val="0"/>
          <w:numId w:val="27"/>
        </w:numPr>
      </w:pPr>
      <w:r>
        <w:rPr>
          <w:rStyle w:val="Forte"/>
        </w:rPr>
        <w:t>Índices complementares</w:t>
      </w:r>
      <w:r>
        <w:t>: NDWI (detecção de umidade), MNDWI (distinção água/áreas construídas), EVI (melhor sensibilidade em áreas de alta biomassa) e SAVI (minimização da influência do solo).</w:t>
      </w:r>
    </w:p>
    <w:p w14:paraId="3B2BF842" w14:textId="77777777" w:rsidR="0051609B" w:rsidRDefault="0051609B" w:rsidP="0051609B">
      <w:pPr>
        <w:pStyle w:val="whitespace-normal"/>
      </w:pPr>
      <w:r>
        <w:t>Os índices são calculados usando as bandas específicas do Sentinel-2:</w:t>
      </w:r>
    </w:p>
    <w:p w14:paraId="20DFD046" w14:textId="77777777" w:rsidR="0051609B" w:rsidRDefault="0051609B" w:rsidP="0051609B">
      <w:pPr>
        <w:pStyle w:val="whitespace-normal"/>
        <w:numPr>
          <w:ilvl w:val="0"/>
          <w:numId w:val="28"/>
        </w:numPr>
      </w:pPr>
      <w:r>
        <w:t>B2: Azul (490nm, 10m)</w:t>
      </w:r>
    </w:p>
    <w:p w14:paraId="4545CE2B" w14:textId="77777777" w:rsidR="0051609B" w:rsidRDefault="0051609B" w:rsidP="0051609B">
      <w:pPr>
        <w:pStyle w:val="whitespace-normal"/>
        <w:numPr>
          <w:ilvl w:val="0"/>
          <w:numId w:val="28"/>
        </w:numPr>
      </w:pPr>
      <w:r>
        <w:t>B3: Verde (560nm, 10m)</w:t>
      </w:r>
    </w:p>
    <w:p w14:paraId="22031F11" w14:textId="77777777" w:rsidR="0051609B" w:rsidRDefault="0051609B" w:rsidP="0051609B">
      <w:pPr>
        <w:pStyle w:val="whitespace-normal"/>
        <w:numPr>
          <w:ilvl w:val="0"/>
          <w:numId w:val="28"/>
        </w:numPr>
      </w:pPr>
      <w:r>
        <w:t>B4: Vermelho (665nm, 10m)</w:t>
      </w:r>
    </w:p>
    <w:p w14:paraId="6CCB81AD" w14:textId="77777777" w:rsidR="0051609B" w:rsidRDefault="0051609B" w:rsidP="0051609B">
      <w:pPr>
        <w:pStyle w:val="whitespace-normal"/>
        <w:numPr>
          <w:ilvl w:val="0"/>
          <w:numId w:val="28"/>
        </w:numPr>
      </w:pPr>
      <w:r>
        <w:t>B8: Infravermelho próximo (842nm, 10m)</w:t>
      </w:r>
    </w:p>
    <w:p w14:paraId="563AB405" w14:textId="77777777" w:rsidR="0051609B" w:rsidRDefault="0051609B" w:rsidP="0051609B">
      <w:pPr>
        <w:pStyle w:val="whitespace-normal"/>
        <w:numPr>
          <w:ilvl w:val="0"/>
          <w:numId w:val="28"/>
        </w:numPr>
      </w:pPr>
      <w:r>
        <w:t>B11: Infravermelho de onda curta (1610nm, 20m)</w:t>
      </w:r>
    </w:p>
    <w:p w14:paraId="25190C7E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lastRenderedPageBreak/>
        <w:t>2.4 Classificação de Cobertura Vegetal</w:t>
      </w:r>
    </w:p>
    <w:p w14:paraId="4D010E19" w14:textId="77777777" w:rsidR="0051609B" w:rsidRDefault="0051609B" w:rsidP="0051609B">
      <w:pPr>
        <w:pStyle w:val="whitespace-normal"/>
      </w:pPr>
      <w:r>
        <w:t>O sistema implementa duas abordagens complementares:</w:t>
      </w:r>
    </w:p>
    <w:p w14:paraId="3C86A422" w14:textId="77777777" w:rsidR="0051609B" w:rsidRDefault="0051609B" w:rsidP="0051609B">
      <w:pPr>
        <w:pStyle w:val="whitespace-normal"/>
      </w:pPr>
      <w:r>
        <w:rPr>
          <w:rStyle w:val="Forte"/>
        </w:rPr>
        <w:t>2.4.1 Classificação Baseada em Limiares</w:t>
      </w:r>
    </w:p>
    <w:p w14:paraId="14537808" w14:textId="77777777" w:rsidR="0051609B" w:rsidRDefault="0051609B" w:rsidP="0051609B">
      <w:pPr>
        <w:pStyle w:val="whitespace-normal"/>
      </w:pPr>
      <w:r>
        <w:t>O NDVI é classificado em seis categorias principais de vegetação, com a classe de água identificada pelos índices NDWI e MNDWI:</w:t>
      </w:r>
    </w:p>
    <w:p w14:paraId="61308FEA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Solo exposto: NDVI [-1.0, 0.177]</w:t>
      </w:r>
    </w:p>
    <w:p w14:paraId="1F0DE903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Vegetação baixa: NDVI [0.177, 0.331]</w:t>
      </w:r>
    </w:p>
    <w:p w14:paraId="73B0EC3B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Vegetação média baixa: NDVI [0.331, 0.471]</w:t>
      </w:r>
    </w:p>
    <w:p w14:paraId="656392F6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Vegetação média: NDVI [0.471, 0.584]</w:t>
      </w:r>
    </w:p>
    <w:p w14:paraId="3809C734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Vegetação média alta: NDVI [0.584, 0.7]</w:t>
      </w:r>
    </w:p>
    <w:p w14:paraId="6A2BD594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Vegetação alta: NDVI [0.7, 1.0]</w:t>
      </w:r>
    </w:p>
    <w:p w14:paraId="2EAD77BE" w14:textId="77777777" w:rsidR="0051609B" w:rsidRDefault="0051609B" w:rsidP="0051609B">
      <w:pPr>
        <w:pStyle w:val="whitespace-normal"/>
        <w:numPr>
          <w:ilvl w:val="0"/>
          <w:numId w:val="29"/>
        </w:numPr>
      </w:pPr>
      <w:r>
        <w:t>Água: NDWI e MNDWI &gt; 0</w:t>
      </w:r>
    </w:p>
    <w:p w14:paraId="4FD779DB" w14:textId="77777777" w:rsidR="0051609B" w:rsidRDefault="0051609B" w:rsidP="0051609B">
      <w:pPr>
        <w:pStyle w:val="whitespace-normal"/>
      </w:pPr>
      <w:r>
        <w:rPr>
          <w:rStyle w:val="Forte"/>
        </w:rPr>
        <w:t>2.4.2 Classificação Baseada em CNN</w:t>
      </w:r>
    </w:p>
    <w:p w14:paraId="186AAB7D" w14:textId="77777777" w:rsidR="0051609B" w:rsidRDefault="0051609B" w:rsidP="0051609B">
      <w:pPr>
        <w:pStyle w:val="whitespace-normal"/>
      </w:pPr>
      <w:r>
        <w:t>O modelo CNN implementado possui:</w:t>
      </w:r>
    </w:p>
    <w:p w14:paraId="4F41A796" w14:textId="77777777" w:rsidR="0051609B" w:rsidRDefault="0051609B" w:rsidP="0051609B">
      <w:pPr>
        <w:pStyle w:val="whitespace-normal"/>
        <w:numPr>
          <w:ilvl w:val="0"/>
          <w:numId w:val="30"/>
        </w:numPr>
      </w:pPr>
      <w:r>
        <w:t>Camada de entrada: patches 256x256x1 (variações espaciais de NDVI)</w:t>
      </w:r>
    </w:p>
    <w:p w14:paraId="24C702C8" w14:textId="77777777" w:rsidR="0051609B" w:rsidRDefault="0051609B" w:rsidP="0051609B">
      <w:pPr>
        <w:pStyle w:val="whitespace-normal"/>
        <w:numPr>
          <w:ilvl w:val="0"/>
          <w:numId w:val="30"/>
        </w:numPr>
      </w:pPr>
      <w:r>
        <w:t xml:space="preserve">Três blocos </w:t>
      </w:r>
      <w:proofErr w:type="spellStart"/>
      <w:r>
        <w:t>convolucionais</w:t>
      </w:r>
      <w:proofErr w:type="spellEnd"/>
      <w:r>
        <w:t xml:space="preserve">: Conv2D (32, 64, 128 filtros) com </w:t>
      </w:r>
      <w:proofErr w:type="spellStart"/>
      <w:r>
        <w:t>MaxPooling</w:t>
      </w:r>
      <w:proofErr w:type="spellEnd"/>
    </w:p>
    <w:p w14:paraId="01C26B9B" w14:textId="77777777" w:rsidR="0051609B" w:rsidRDefault="0051609B" w:rsidP="0051609B">
      <w:pPr>
        <w:pStyle w:val="whitespace-normal"/>
        <w:numPr>
          <w:ilvl w:val="0"/>
          <w:numId w:val="30"/>
        </w:numPr>
      </w:pPr>
      <w:r>
        <w:t xml:space="preserve">Regularização: </w:t>
      </w:r>
      <w:proofErr w:type="spellStart"/>
      <w:r>
        <w:t>Dropout</w:t>
      </w:r>
      <w:proofErr w:type="spellEnd"/>
      <w:r>
        <w:t xml:space="preserve"> (0.3) e </w:t>
      </w:r>
      <w:proofErr w:type="spellStart"/>
      <w:r>
        <w:t>BatchNormalization</w:t>
      </w:r>
      <w:proofErr w:type="spellEnd"/>
    </w:p>
    <w:p w14:paraId="1AA6CE96" w14:textId="77777777" w:rsidR="0051609B" w:rsidRDefault="0051609B" w:rsidP="0051609B">
      <w:pPr>
        <w:pStyle w:val="whitespace-normal"/>
        <w:numPr>
          <w:ilvl w:val="0"/>
          <w:numId w:val="30"/>
        </w:numPr>
      </w:pPr>
      <w:r>
        <w:t xml:space="preserve">Camada densa final: </w:t>
      </w:r>
      <w:proofErr w:type="spellStart"/>
      <w:r>
        <w:t>softmax</w:t>
      </w:r>
      <w:proofErr w:type="spellEnd"/>
      <w:r>
        <w:t xml:space="preserve"> para classificação </w:t>
      </w:r>
      <w:proofErr w:type="spellStart"/>
      <w:r>
        <w:t>multiclasse</w:t>
      </w:r>
      <w:proofErr w:type="spellEnd"/>
    </w:p>
    <w:p w14:paraId="0C500998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2.5 Geração de Amostras e Treinamento</w:t>
      </w:r>
    </w:p>
    <w:p w14:paraId="758CC011" w14:textId="77777777" w:rsidR="0051609B" w:rsidRDefault="0051609B" w:rsidP="0051609B">
      <w:pPr>
        <w:pStyle w:val="whitespace-normal"/>
      </w:pPr>
      <w:r>
        <w:t xml:space="preserve">O </w:t>
      </w:r>
      <w:proofErr w:type="spellStart"/>
      <w:r>
        <w:t>dataset</w:t>
      </w:r>
      <w:proofErr w:type="spellEnd"/>
      <w:r>
        <w:t xml:space="preserve"> de treinamento foi gerado através dos seguintes passos:</w:t>
      </w:r>
    </w:p>
    <w:p w14:paraId="33B140B1" w14:textId="77777777" w:rsidR="0051609B" w:rsidRDefault="0051609B" w:rsidP="0051609B">
      <w:pPr>
        <w:pStyle w:val="whitespace-normal"/>
        <w:numPr>
          <w:ilvl w:val="0"/>
          <w:numId w:val="31"/>
        </w:numPr>
      </w:pPr>
      <w:r>
        <w:t>Coleta de aproximadamente 3.000 pontos aleatórios distribuídos entre as 13 regiões de interesse;</w:t>
      </w:r>
    </w:p>
    <w:p w14:paraId="320B8B29" w14:textId="77777777" w:rsidR="0051609B" w:rsidRDefault="0051609B" w:rsidP="0051609B">
      <w:pPr>
        <w:pStyle w:val="whitespace-normal"/>
        <w:numPr>
          <w:ilvl w:val="0"/>
          <w:numId w:val="31"/>
        </w:numPr>
      </w:pPr>
      <w:r>
        <w:t>Extração dos valores de NDVI e classificação baseada em limiares para cada ponto;</w:t>
      </w:r>
    </w:p>
    <w:p w14:paraId="7FE67AF5" w14:textId="77777777" w:rsidR="0051609B" w:rsidRDefault="0051609B" w:rsidP="0051609B">
      <w:pPr>
        <w:pStyle w:val="whitespace-normal"/>
        <w:numPr>
          <w:ilvl w:val="0"/>
          <w:numId w:val="31"/>
        </w:numPr>
      </w:pPr>
      <w:r>
        <w:t>Geração de patches sintéticos 256x256 simulando variações espaciais de NDVI;</w:t>
      </w:r>
    </w:p>
    <w:p w14:paraId="48080BC1" w14:textId="3DC9B366" w:rsidR="0051609B" w:rsidRDefault="0051609B" w:rsidP="0051609B">
      <w:pPr>
        <w:pStyle w:val="whitespace-normal"/>
        <w:numPr>
          <w:ilvl w:val="0"/>
          <w:numId w:val="31"/>
        </w:numPr>
      </w:pPr>
      <w:r>
        <w:t>Balanceamento das classes através de estratificação na divisão treino/validação.</w:t>
      </w:r>
    </w:p>
    <w:p w14:paraId="7DF425EB" w14:textId="45CF6D39" w:rsidR="00A80B68" w:rsidRDefault="00A80B68" w:rsidP="00A80B68">
      <w:pPr>
        <w:pStyle w:val="whitespace-normal"/>
        <w:jc w:val="center"/>
      </w:pPr>
    </w:p>
    <w:p w14:paraId="77B7C39A" w14:textId="77777777" w:rsidR="0051609B" w:rsidRDefault="0051609B" w:rsidP="0051609B">
      <w:pPr>
        <w:pStyle w:val="whitespace-normal"/>
      </w:pPr>
      <w:r>
        <w:t>O treinamento utilizou:</w:t>
      </w:r>
    </w:p>
    <w:p w14:paraId="5FD7D8A4" w14:textId="77777777" w:rsidR="0051609B" w:rsidRDefault="0051609B" w:rsidP="0051609B">
      <w:pPr>
        <w:pStyle w:val="whitespace-normal"/>
        <w:numPr>
          <w:ilvl w:val="0"/>
          <w:numId w:val="32"/>
        </w:numPr>
      </w:pPr>
      <w:r>
        <w:t>Otimizador Adam (</w:t>
      </w:r>
      <w:proofErr w:type="spellStart"/>
      <w:r>
        <w:t>learning</w:t>
      </w:r>
      <w:proofErr w:type="spellEnd"/>
      <w:r>
        <w:t xml:space="preserve"> rate: 0.001)</w:t>
      </w:r>
    </w:p>
    <w:p w14:paraId="769EE26B" w14:textId="77777777" w:rsidR="0051609B" w:rsidRDefault="0051609B" w:rsidP="0051609B">
      <w:pPr>
        <w:pStyle w:val="whitespace-normal"/>
        <w:numPr>
          <w:ilvl w:val="0"/>
          <w:numId w:val="32"/>
        </w:numPr>
      </w:pPr>
      <w:r>
        <w:t xml:space="preserve">Batch </w:t>
      </w:r>
      <w:proofErr w:type="spellStart"/>
      <w:r>
        <w:t>size</w:t>
      </w:r>
      <w:proofErr w:type="spellEnd"/>
      <w:r>
        <w:t>: 32</w:t>
      </w:r>
    </w:p>
    <w:p w14:paraId="486110B7" w14:textId="77777777" w:rsidR="0051609B" w:rsidRDefault="0051609B" w:rsidP="0051609B">
      <w:pPr>
        <w:pStyle w:val="whitespace-normal"/>
        <w:numPr>
          <w:ilvl w:val="0"/>
          <w:numId w:val="32"/>
        </w:numPr>
      </w:pPr>
      <w:r>
        <w:t xml:space="preserve">Early </w:t>
      </w:r>
      <w:proofErr w:type="spellStart"/>
      <w:r>
        <w:t>stopping</w:t>
      </w:r>
      <w:proofErr w:type="spellEnd"/>
      <w:r>
        <w:t xml:space="preserve"> e redução adaptativa da taxa de aprendizado</w:t>
      </w:r>
    </w:p>
    <w:p w14:paraId="4ECB2169" w14:textId="77777777" w:rsidR="0051609B" w:rsidRDefault="0051609B" w:rsidP="0051609B">
      <w:pPr>
        <w:pStyle w:val="whitespace-normal"/>
        <w:numPr>
          <w:ilvl w:val="0"/>
          <w:numId w:val="32"/>
        </w:numPr>
      </w:pPr>
      <w:r>
        <w:t>Métrica: acurácia</w:t>
      </w:r>
    </w:p>
    <w:p w14:paraId="61CD8652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2.6 Análise de Saúde Vegetal</w:t>
      </w:r>
    </w:p>
    <w:p w14:paraId="24A6D514" w14:textId="77777777" w:rsidR="0051609B" w:rsidRDefault="0051609B" w:rsidP="0051609B">
      <w:pPr>
        <w:pStyle w:val="whitespace-normal"/>
      </w:pPr>
      <w:r>
        <w:t>Para avaliação da saúde vegetal, o sistema implementa um índice composto baseado na distribuição das classes de NDVI:</w:t>
      </w:r>
    </w:p>
    <w:p w14:paraId="2F491936" w14:textId="77777777" w:rsidR="0051609B" w:rsidRDefault="0051609B" w:rsidP="0051609B">
      <w:pPr>
        <w:pStyle w:val="whitespace-normal"/>
      </w:pPr>
      <w:r>
        <w:lastRenderedPageBreak/>
        <w:t xml:space="preserve">Índice de Saúde = </w:t>
      </w:r>
      <w:proofErr w:type="gramStart"/>
      <w:r>
        <w:t>Σ(</w:t>
      </w:r>
      <w:proofErr w:type="spellStart"/>
      <w:proofErr w:type="gramEnd"/>
      <w:r>
        <w:t>peso_classe_i</w:t>
      </w:r>
      <w:proofErr w:type="spellEnd"/>
      <w:r>
        <w:t xml:space="preserve"> * </w:t>
      </w:r>
      <w:proofErr w:type="spellStart"/>
      <w:r>
        <w:t>frequência_classe_i</w:t>
      </w:r>
      <w:proofErr w:type="spellEnd"/>
      <w:r>
        <w:t xml:space="preserve">) / </w:t>
      </w:r>
      <w:proofErr w:type="spellStart"/>
      <w:r>
        <w:t>total_pixels_não_água</w:t>
      </w:r>
      <w:proofErr w:type="spellEnd"/>
    </w:p>
    <w:p w14:paraId="22590842" w14:textId="77777777" w:rsidR="0051609B" w:rsidRDefault="0051609B" w:rsidP="0051609B">
      <w:pPr>
        <w:pStyle w:val="whitespace-normal"/>
      </w:pPr>
      <w:r>
        <w:t>O índice resultante é classificado em quatro categorias: Crítica (&lt;0.3), Baixa (0.3-0.5), Moderada (0.5-0.7) e Boa/Excelente (&gt;0.7).</w:t>
      </w:r>
    </w:p>
    <w:p w14:paraId="4C9E8512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2.7 Regiões de Estudo</w:t>
      </w:r>
    </w:p>
    <w:p w14:paraId="7863ED1C" w14:textId="77777777" w:rsidR="0051609B" w:rsidRDefault="0051609B" w:rsidP="0051609B">
      <w:pPr>
        <w:pStyle w:val="whitespace-normal"/>
      </w:pPr>
      <w:r>
        <w:t>Para o treinamento do modelo e validação, foram selecionadas 13 regiões distribuídas globalmente:</w:t>
      </w:r>
    </w:p>
    <w:p w14:paraId="2C8C48C1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Cerrado brasileiro (-48.0, -16.0)</w:t>
      </w:r>
    </w:p>
    <w:p w14:paraId="1CCFD813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Floresta Amazônica (-60.0, -3.0)</w:t>
      </w:r>
    </w:p>
    <w:p w14:paraId="6CA12113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Caatinga brasileira (-39.0, -9.0)</w:t>
      </w:r>
    </w:p>
    <w:p w14:paraId="7C7EBD60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Pantanal brasileiro (-57.0, -17.0)</w:t>
      </w:r>
    </w:p>
    <w:p w14:paraId="2534063C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Mata Atlântica brasileira (-46.0, -23.0)</w:t>
      </w:r>
    </w:p>
    <w:p w14:paraId="57DFF719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Pampa brasileiro (-53.0, -31.0)</w:t>
      </w:r>
    </w:p>
    <w:p w14:paraId="461768FA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Região urbana do Rio de Janeiro (-43.3, -22.95)</w:t>
      </w:r>
    </w:p>
    <w:p w14:paraId="0B231212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Floresta temperada na América do Norte (-123.0, 49.0)</w:t>
      </w:r>
    </w:p>
    <w:p w14:paraId="5B78E872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Região desértica do Saara (23.0, 19.0)</w:t>
      </w:r>
    </w:p>
    <w:p w14:paraId="487A4830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Floresta tropical asiática (100.0, 0.5)</w:t>
      </w:r>
    </w:p>
    <w:p w14:paraId="16302D0F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Savana africana (30.0, -2.0)</w:t>
      </w:r>
    </w:p>
    <w:p w14:paraId="513D6733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Região semiárida australiana (135.0, -33.0)</w:t>
      </w:r>
    </w:p>
    <w:p w14:paraId="3BACE5B2" w14:textId="77777777" w:rsidR="0051609B" w:rsidRDefault="0051609B" w:rsidP="0051609B">
      <w:pPr>
        <w:pStyle w:val="whitespace-normal"/>
        <w:numPr>
          <w:ilvl w:val="0"/>
          <w:numId w:val="33"/>
        </w:numPr>
      </w:pPr>
      <w:r>
        <w:t>Zona agrícola europeia (5.0, 52.0)</w:t>
      </w:r>
    </w:p>
    <w:p w14:paraId="72F4B328" w14:textId="2A531E38" w:rsidR="0051609B" w:rsidRDefault="00AD7AE8" w:rsidP="0051609B">
      <w:pPr>
        <w:pStyle w:val="whitespace-normal"/>
      </w:pPr>
      <w:r>
        <w:t>Como mostrada na figura 1, c</w:t>
      </w:r>
      <w:r w:rsidR="0051609B">
        <w:t>ada região foi representada por um retângulo de aproximadamente 50x50km para captura de variabilidade interna.</w:t>
      </w:r>
    </w:p>
    <w:p w14:paraId="65B8A529" w14:textId="52CC5367" w:rsidR="00A80B68" w:rsidRDefault="005513A1" w:rsidP="00AD7AE8">
      <w:pPr>
        <w:pStyle w:val="whitespace-normal"/>
        <w:jc w:val="center"/>
      </w:pPr>
      <w:r>
        <w:rPr>
          <w:noProof/>
        </w:rPr>
        <w:drawing>
          <wp:inline distT="0" distB="0" distL="0" distR="0" wp14:anchorId="2EAFD69E" wp14:editId="6FF88805">
            <wp:extent cx="2460259" cy="2531718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99" cy="25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8604D" wp14:editId="6A159B8E">
            <wp:extent cx="2457201" cy="2528570"/>
            <wp:effectExtent l="0" t="0" r="63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12" cy="25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70DC" w14:textId="4B58432B" w:rsidR="00AD7AE8" w:rsidRPr="00BE4242" w:rsidRDefault="00AD7AE8" w:rsidP="00AD7AE8">
      <w:pPr>
        <w:pStyle w:val="whitespace-normal"/>
        <w:rPr>
          <w:b/>
          <w:bCs/>
          <w:sz w:val="20"/>
          <w:szCs w:val="20"/>
        </w:rPr>
      </w:pPr>
      <w:r w:rsidRPr="00BE4242">
        <w:rPr>
          <w:rStyle w:val="Forte"/>
          <w:sz w:val="20"/>
          <w:szCs w:val="20"/>
        </w:rPr>
        <w:t>Figura 1.</w:t>
      </w:r>
      <w:r w:rsidRPr="00BE4242">
        <w:rPr>
          <w:sz w:val="20"/>
          <w:szCs w:val="20"/>
        </w:rPr>
        <w:t xml:space="preserve"> </w:t>
      </w:r>
      <w:r w:rsidRPr="00BE4242">
        <w:rPr>
          <w:rStyle w:val="nfase"/>
          <w:i w:val="0"/>
          <w:iCs w:val="0"/>
          <w:sz w:val="20"/>
          <w:szCs w:val="20"/>
        </w:rPr>
        <w:t>Exemplo de imagem Sentinel-2 (visão original do satélite) e sua correspondente imagem classificada, representando uma das regiões utilizadas no processo de treinamento do modelo</w:t>
      </w:r>
      <w:r w:rsidRPr="00BE4242">
        <w:rPr>
          <w:rStyle w:val="nfase"/>
          <w:sz w:val="20"/>
          <w:szCs w:val="20"/>
        </w:rPr>
        <w:t>.</w:t>
      </w:r>
    </w:p>
    <w:p w14:paraId="3089E90A" w14:textId="77777777" w:rsidR="0051609B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t>3. Resultados</w:t>
      </w:r>
    </w:p>
    <w:p w14:paraId="35BDE080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3.1 Desempenho do Modelo CNN</w:t>
      </w:r>
    </w:p>
    <w:p w14:paraId="505A6D5C" w14:textId="545704C2" w:rsidR="0051609B" w:rsidRDefault="0051609B" w:rsidP="0051609B">
      <w:pPr>
        <w:pStyle w:val="whitespace-normal"/>
      </w:pPr>
      <w:r>
        <w:lastRenderedPageBreak/>
        <w:t xml:space="preserve">O modelo CNN treinado atingiu acurácia de validação de </w:t>
      </w:r>
      <w:r w:rsidR="005513A1">
        <w:t>98.0</w:t>
      </w:r>
      <w:r>
        <w:t>%</w:t>
      </w:r>
      <w:r w:rsidR="005513A1">
        <w:t xml:space="preserve">, mostrada na figura </w:t>
      </w:r>
      <w:r w:rsidR="00AD7AE8">
        <w:t>2</w:t>
      </w:r>
      <w:r w:rsidR="005513A1">
        <w:t>,</w:t>
      </w:r>
      <w:r>
        <w:t xml:space="preserve"> após </w:t>
      </w:r>
      <w:r w:rsidR="005513A1">
        <w:t>50</w:t>
      </w:r>
      <w:r>
        <w:t xml:space="preserve"> épocas de treinamento, sem evidências significativas de </w:t>
      </w:r>
      <w:proofErr w:type="spellStart"/>
      <w:r>
        <w:t>overfitting</w:t>
      </w:r>
      <w:proofErr w:type="spellEnd"/>
      <w:r>
        <w:t>.</w:t>
      </w:r>
    </w:p>
    <w:p w14:paraId="38223A9D" w14:textId="77777777" w:rsidR="0051609B" w:rsidRDefault="0051609B" w:rsidP="0051609B">
      <w:pPr>
        <w:pStyle w:val="whitespace-normal"/>
      </w:pPr>
      <w:r>
        <w:t>A matriz de confusão normalizada revelou melhor desempenho nas classes extremas (solo exposto e vegetação alta), com alguma confusão entre classes intermediárias, particularmente entre vegetação média baixa e vegetação média.</w:t>
      </w:r>
    </w:p>
    <w:p w14:paraId="142F6ADC" w14:textId="77777777" w:rsidR="0051609B" w:rsidRDefault="0051609B" w:rsidP="0051609B">
      <w:pPr>
        <w:pStyle w:val="whitespace-normal"/>
      </w:pPr>
      <w:r>
        <w:t>O relatório detalhado de classificação mostrou excelentes resultados, com precisão e recall acima de 0.97 para a maioria das classes, conforme resumido abaixo:</w:t>
      </w:r>
    </w:p>
    <w:p w14:paraId="7A233AE2" w14:textId="77777777" w:rsidR="0051609B" w:rsidRDefault="0051609B" w:rsidP="0051609B">
      <w:pPr>
        <w:pStyle w:val="whitespace-normal"/>
        <w:numPr>
          <w:ilvl w:val="0"/>
          <w:numId w:val="34"/>
        </w:numPr>
      </w:pPr>
      <w:r>
        <w:t>Acurácia geral: 0.98</w:t>
      </w:r>
    </w:p>
    <w:p w14:paraId="3496DC73" w14:textId="77777777" w:rsidR="0051609B" w:rsidRDefault="0051609B" w:rsidP="0051609B">
      <w:pPr>
        <w:pStyle w:val="whitespace-normal"/>
        <w:numPr>
          <w:ilvl w:val="0"/>
          <w:numId w:val="34"/>
        </w:numPr>
      </w:pPr>
      <w:r>
        <w:t xml:space="preserve">Média macro (macro </w:t>
      </w:r>
      <w:proofErr w:type="spellStart"/>
      <w:r>
        <w:t>avg</w:t>
      </w:r>
      <w:proofErr w:type="spellEnd"/>
      <w:r>
        <w:t>): 0.98</w:t>
      </w:r>
    </w:p>
    <w:p w14:paraId="1A93F46E" w14:textId="53A27447" w:rsidR="0051609B" w:rsidRDefault="0051609B" w:rsidP="0051609B">
      <w:pPr>
        <w:pStyle w:val="whitespace-normal"/>
        <w:numPr>
          <w:ilvl w:val="0"/>
          <w:numId w:val="34"/>
        </w:numPr>
      </w:pPr>
      <w:r>
        <w:t>Média ponderada (</w:t>
      </w:r>
      <w:proofErr w:type="spellStart"/>
      <w:r>
        <w:t>weighted</w:t>
      </w:r>
      <w:proofErr w:type="spellEnd"/>
      <w:r>
        <w:t xml:space="preserve"> </w:t>
      </w:r>
      <w:proofErr w:type="spellStart"/>
      <w:r>
        <w:t>avg</w:t>
      </w:r>
      <w:proofErr w:type="spellEnd"/>
      <w:r>
        <w:t>): 0.98</w:t>
      </w:r>
    </w:p>
    <w:p w14:paraId="1A53B1BF" w14:textId="7CD1F83D" w:rsidR="00A80B68" w:rsidRDefault="00A80B68" w:rsidP="00A80B68">
      <w:pPr>
        <w:pStyle w:val="whitespace-normal"/>
      </w:pPr>
      <w:r>
        <w:rPr>
          <w:noProof/>
        </w:rPr>
        <w:drawing>
          <wp:inline distT="0" distB="0" distL="0" distR="0" wp14:anchorId="525B19D7" wp14:editId="5EE13BFA">
            <wp:extent cx="5400040" cy="22244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2C68" w14:textId="07DBB18C" w:rsidR="00AD7AE8" w:rsidRPr="00BE4242" w:rsidRDefault="00AD7AE8" w:rsidP="00A80B68">
      <w:pPr>
        <w:pStyle w:val="whitespace-normal"/>
        <w:rPr>
          <w:sz w:val="20"/>
          <w:szCs w:val="20"/>
        </w:rPr>
      </w:pPr>
      <w:r w:rsidRPr="00BE4242">
        <w:rPr>
          <w:b/>
          <w:bCs/>
          <w:sz w:val="20"/>
          <w:szCs w:val="20"/>
        </w:rPr>
        <w:t>Figura 2.</w:t>
      </w:r>
      <w:r w:rsidRPr="00BE4242">
        <w:rPr>
          <w:sz w:val="20"/>
          <w:szCs w:val="20"/>
        </w:rPr>
        <w:t xml:space="preserve"> Acurácia e perda do modelo CNN ao longo das 50 épocas de treinamento. A acurácia de validação atingiu 98,0%, com curvas consistentes indicando boa generalização do modelo.</w:t>
      </w:r>
    </w:p>
    <w:p w14:paraId="1748A3D5" w14:textId="376A2511" w:rsidR="00960ABE" w:rsidRDefault="00960ABE" w:rsidP="0051609B">
      <w:pPr>
        <w:pStyle w:val="whitespace-normal"/>
      </w:pPr>
      <w:r>
        <w:t>Estes resultados superam significativamente os reportados por Maxwell et al. [</w:t>
      </w:r>
      <w:r w:rsidR="00F77B07">
        <w:t>8</w:t>
      </w:r>
      <w:r>
        <w:t xml:space="preserve">] para classificação de vegetação usando </w:t>
      </w:r>
      <w:proofErr w:type="spellStart"/>
      <w:r>
        <w:t>Random</w:t>
      </w:r>
      <w:proofErr w:type="spellEnd"/>
      <w:r>
        <w:t xml:space="preserve"> Forest (0.87) e SVM (0.82), confirmando a superioridade da abordagem CNN para esta aplicação.</w:t>
      </w:r>
    </w:p>
    <w:p w14:paraId="73B4AB2B" w14:textId="01683F14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3.2 Análise de Regiões Representativas</w:t>
      </w:r>
    </w:p>
    <w:p w14:paraId="75178FFF" w14:textId="77777777" w:rsidR="0051609B" w:rsidRDefault="0051609B" w:rsidP="0051609B">
      <w:pPr>
        <w:pStyle w:val="whitespace-normal"/>
      </w:pPr>
      <w:r>
        <w:t>Para demonstrar a aplicabilidade do sistema, foram selecionadas três regiões com características distintas:</w:t>
      </w:r>
    </w:p>
    <w:p w14:paraId="23FC21C0" w14:textId="7E634954" w:rsidR="0051609B" w:rsidRDefault="0051609B" w:rsidP="00542F52">
      <w:pPr>
        <w:pStyle w:val="whitespace-normal"/>
      </w:pPr>
      <w:r>
        <w:rPr>
          <w:rStyle w:val="Forte"/>
        </w:rPr>
        <w:t>Cerrado</w:t>
      </w:r>
      <w:r>
        <w:t xml:space="preserve"> (-1</w:t>
      </w:r>
      <w:r w:rsidR="00A80B68">
        <w:t>3.09</w:t>
      </w:r>
      <w:r>
        <w:t>, -4</w:t>
      </w:r>
      <w:r w:rsidR="00A80B68">
        <w:t>6.36</w:t>
      </w:r>
      <w:r>
        <w:t>): Índice de Saúde 0.6</w:t>
      </w:r>
      <w:r w:rsidR="00A80B68">
        <w:t>9</w:t>
      </w:r>
      <w:r>
        <w:t xml:space="preserve"> (Moderada), com vegetação média como classe predominante (</w:t>
      </w:r>
      <w:r w:rsidR="00A80B68">
        <w:t>35,6</w:t>
      </w:r>
      <w:r>
        <w:t>%)</w:t>
      </w:r>
      <w:r w:rsidR="00542F52">
        <w:t>, como mostr</w:t>
      </w:r>
      <w:r w:rsidR="005513A1">
        <w:t>ada na figura 3</w:t>
      </w:r>
      <w:r w:rsidR="00542F52">
        <w:t>:</w:t>
      </w:r>
    </w:p>
    <w:p w14:paraId="2C42E101" w14:textId="40940EE7" w:rsidR="00A80B68" w:rsidRDefault="00A80B68" w:rsidP="00A80B68">
      <w:pPr>
        <w:pStyle w:val="whitespace-normal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99C043B" wp14:editId="33622874">
            <wp:extent cx="3962400" cy="276398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399" cy="277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99AD" w14:textId="63DE1206" w:rsidR="005513A1" w:rsidRPr="00BE4242" w:rsidRDefault="005513A1" w:rsidP="005513A1">
      <w:pPr>
        <w:pStyle w:val="whitespace-normal"/>
        <w:ind w:left="720"/>
        <w:rPr>
          <w:sz w:val="20"/>
          <w:szCs w:val="20"/>
        </w:rPr>
      </w:pPr>
      <w:r w:rsidRPr="00BE4242">
        <w:rPr>
          <w:b/>
          <w:bCs/>
          <w:sz w:val="20"/>
          <w:szCs w:val="20"/>
        </w:rPr>
        <w:t xml:space="preserve">Figura 3. </w:t>
      </w:r>
      <w:r w:rsidRPr="00BE4242">
        <w:rPr>
          <w:sz w:val="20"/>
          <w:szCs w:val="20"/>
        </w:rPr>
        <w:t>A maior parte da área apresenta vegetação média (35,6%) e média alta (28,4%), com presença significativa de vegetação alta (18,9%) e média baixa (15,7%). A classe de baixa vegetação representa apenas 1,4%, e não há presença relevante de solo exposto.</w:t>
      </w:r>
    </w:p>
    <w:p w14:paraId="1AA77CD2" w14:textId="5C57C7CD" w:rsidR="0051609B" w:rsidRDefault="0051609B" w:rsidP="0051609B">
      <w:pPr>
        <w:pStyle w:val="whitespace-normal"/>
        <w:numPr>
          <w:ilvl w:val="0"/>
          <w:numId w:val="35"/>
        </w:numPr>
      </w:pPr>
      <w:r>
        <w:rPr>
          <w:rStyle w:val="Forte"/>
        </w:rPr>
        <w:t>Amazônia</w:t>
      </w:r>
      <w:r>
        <w:t xml:space="preserve"> (-</w:t>
      </w:r>
      <w:r w:rsidR="008B01B7">
        <w:t>4.04</w:t>
      </w:r>
      <w:r>
        <w:t>, -59.</w:t>
      </w:r>
      <w:r w:rsidR="008B01B7">
        <w:t>81</w:t>
      </w:r>
      <w:r>
        <w:t>): Índice de Saúde 0.</w:t>
      </w:r>
      <w:r w:rsidR="00102D3E">
        <w:t>80</w:t>
      </w:r>
      <w:r>
        <w:t xml:space="preserve"> (Excelente), com vegetação alta predominante (</w:t>
      </w:r>
      <w:r w:rsidR="008B01B7">
        <w:t>60,1</w:t>
      </w:r>
      <w:r>
        <w:t>%)</w:t>
      </w:r>
      <w:r w:rsidR="00542F52">
        <w:t>, como</w:t>
      </w:r>
      <w:r w:rsidR="005513A1">
        <w:t xml:space="preserve"> mostrada na figura 4.</w:t>
      </w:r>
    </w:p>
    <w:p w14:paraId="168962DE" w14:textId="5A8DF7F5" w:rsidR="008B01B7" w:rsidRDefault="008B01B7" w:rsidP="008B01B7">
      <w:pPr>
        <w:pStyle w:val="whitespace-normal"/>
        <w:ind w:left="720"/>
        <w:jc w:val="center"/>
      </w:pPr>
      <w:r>
        <w:rPr>
          <w:noProof/>
        </w:rPr>
        <w:drawing>
          <wp:inline distT="0" distB="0" distL="0" distR="0" wp14:anchorId="226ECA51" wp14:editId="1B2DB2AE">
            <wp:extent cx="3829050" cy="267096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384" cy="267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45A1" w14:textId="462CD27E" w:rsidR="005513A1" w:rsidRPr="00BE4242" w:rsidRDefault="005513A1" w:rsidP="005513A1">
      <w:pPr>
        <w:pStyle w:val="whitespace-normal"/>
        <w:ind w:left="720"/>
        <w:rPr>
          <w:b/>
          <w:bCs/>
          <w:sz w:val="20"/>
          <w:szCs w:val="20"/>
        </w:rPr>
      </w:pPr>
      <w:r w:rsidRPr="00BE4242">
        <w:rPr>
          <w:b/>
          <w:bCs/>
          <w:sz w:val="20"/>
          <w:szCs w:val="20"/>
        </w:rPr>
        <w:t xml:space="preserve">Figura 4. </w:t>
      </w:r>
      <w:r w:rsidRPr="00BE4242">
        <w:rPr>
          <w:sz w:val="20"/>
          <w:szCs w:val="20"/>
        </w:rPr>
        <w:t>A classe de vegetação alta é predominante (60,1%), seguida por vegetação média (11,7%) e média baixa (9,5%). As classes de solo exposto (1,8%) e baixa vegetação (6,4%) estão presentes em menor proporção, indicando vegetação densa e bem preservada.</w:t>
      </w:r>
    </w:p>
    <w:p w14:paraId="266C555D" w14:textId="463D9BF3" w:rsidR="0051609B" w:rsidRDefault="0051609B" w:rsidP="0051609B">
      <w:pPr>
        <w:pStyle w:val="whitespace-normal"/>
        <w:numPr>
          <w:ilvl w:val="0"/>
          <w:numId w:val="35"/>
        </w:numPr>
      </w:pPr>
      <w:r>
        <w:rPr>
          <w:rStyle w:val="Forte"/>
        </w:rPr>
        <w:t>Área urbana</w:t>
      </w:r>
      <w:r>
        <w:t xml:space="preserve"> (-23.5, -46.6): Índice de Saúde 0.</w:t>
      </w:r>
      <w:r w:rsidR="008B01B7">
        <w:t>10</w:t>
      </w:r>
      <w:r>
        <w:t xml:space="preserve"> (Crítica), com solo exposto predominante (</w:t>
      </w:r>
      <w:r w:rsidR="008B01B7">
        <w:t>74,7</w:t>
      </w:r>
      <w:r>
        <w:t>%)</w:t>
      </w:r>
      <w:r w:rsidR="00542F52">
        <w:t>, como</w:t>
      </w:r>
      <w:r w:rsidR="005513A1">
        <w:t xml:space="preserve"> mostrada na figura 5.</w:t>
      </w:r>
    </w:p>
    <w:p w14:paraId="33562C5E" w14:textId="53861099" w:rsidR="008B01B7" w:rsidRDefault="008B01B7" w:rsidP="008B01B7">
      <w:pPr>
        <w:pStyle w:val="whitespace-normal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EDCC6A0" wp14:editId="70B3D0C6">
            <wp:extent cx="3823360" cy="2667000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2" cy="267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915A" w14:textId="023230FC" w:rsidR="005513A1" w:rsidRPr="00BE4242" w:rsidRDefault="005513A1" w:rsidP="005513A1">
      <w:pPr>
        <w:pStyle w:val="whitespace-normal"/>
        <w:ind w:left="720"/>
        <w:rPr>
          <w:sz w:val="20"/>
          <w:szCs w:val="20"/>
        </w:rPr>
      </w:pPr>
      <w:r w:rsidRPr="00BE4242">
        <w:rPr>
          <w:b/>
          <w:bCs/>
          <w:sz w:val="20"/>
          <w:szCs w:val="20"/>
        </w:rPr>
        <w:t xml:space="preserve">Figura 5. </w:t>
      </w:r>
      <w:r w:rsidRPr="00BE4242">
        <w:rPr>
          <w:sz w:val="20"/>
          <w:szCs w:val="20"/>
        </w:rPr>
        <w:t>A classe de solo exposto domina amplamente (74,7%), com baixa vegetação (13,9%) e vegetação média baixa (5,3%) aparecendo em menor proporção. As demais classes de vegetação são residuais, refletindo a baixa cobertura vegetal da região.</w:t>
      </w:r>
    </w:p>
    <w:p w14:paraId="43711928" w14:textId="32970FF4" w:rsidR="00960ABE" w:rsidRDefault="00960ABE" w:rsidP="0051609B">
      <w:pPr>
        <w:pStyle w:val="whitespace-normal"/>
      </w:pPr>
      <w:r w:rsidRPr="00960ABE">
        <w:t>A distribuição de classes para a região do Cerrado mostrou um padrão heterogêneo característico deste bioma, com presença significativa de diferentes estratos de vegetação. Este resultado é consistente com os encontrados por Gandhi et al. [</w:t>
      </w:r>
      <w:r w:rsidR="00F77B07">
        <w:t>9</w:t>
      </w:r>
      <w:r w:rsidRPr="00960ABE">
        <w:t>], que relataram alta heterogeneidade espacial em biomas de savana usando análise NDVI.</w:t>
      </w:r>
    </w:p>
    <w:p w14:paraId="7BEB7D2E" w14:textId="57AF58B3" w:rsidR="00960ABE" w:rsidRDefault="00960ABE" w:rsidP="0051609B">
      <w:pPr>
        <w:pStyle w:val="whitespace-normal"/>
      </w:pPr>
      <w:r>
        <w:t xml:space="preserve">O índice de saúde na Amazônia (0.80) é compatível com os valores reportados na literatura para florestas tropicais intactas. Estudos como o de </w:t>
      </w:r>
      <w:proofErr w:type="spellStart"/>
      <w:r>
        <w:t>Guo</w:t>
      </w:r>
      <w:proofErr w:type="spellEnd"/>
      <w:r>
        <w:t xml:space="preserve"> et al. [</w:t>
      </w:r>
      <w:r w:rsidR="00F77B07">
        <w:t>10</w:t>
      </w:r>
      <w:r>
        <w:t>] encontraram valores similares (0.80-0.89) em análises de séries temporais NDVI para florestas tropicais.</w:t>
      </w:r>
    </w:p>
    <w:p w14:paraId="5F273285" w14:textId="65DA1F31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3.3 Análise Temporal e Sazonalidade</w:t>
      </w:r>
    </w:p>
    <w:p w14:paraId="7DCA008A" w14:textId="06CD3C78" w:rsidR="0051609B" w:rsidRDefault="0051609B" w:rsidP="0051609B">
      <w:pPr>
        <w:pStyle w:val="whitespace-normal"/>
      </w:pPr>
      <w:r>
        <w:t xml:space="preserve">Uma análise temporal para uma região agrícola mostrou variação significativa no índice de saúde vegetal: 0.37 na estação seca versus 0.72 na estação chuvosa. </w:t>
      </w:r>
      <w:r w:rsidR="00960ABE" w:rsidRPr="00960ABE">
        <w:t>Essa amplitude demonstra a sensibilidade do sistema à sazonalidade e confirma sua utilidade para monitoramento de ciclos agrícolas, corroborando os achados de Huang &amp; Jensen [</w:t>
      </w:r>
      <w:r w:rsidR="00F77B07">
        <w:t>11</w:t>
      </w:r>
      <w:r w:rsidR="00960ABE" w:rsidRPr="00960ABE">
        <w:t>] sobre variabilidade sazonal em índices de vegetação.</w:t>
      </w:r>
    </w:p>
    <w:p w14:paraId="4983A15F" w14:textId="77777777" w:rsidR="0051609B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t>4. Discussão</w:t>
      </w:r>
    </w:p>
    <w:p w14:paraId="59D2A170" w14:textId="77777777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4.1 Interpretação dos Padrões de NDVI</w:t>
      </w:r>
    </w:p>
    <w:p w14:paraId="00881D0F" w14:textId="77777777" w:rsidR="0051609B" w:rsidRDefault="0051609B" w:rsidP="0051609B">
      <w:pPr>
        <w:pStyle w:val="whitespace-normal"/>
      </w:pPr>
      <w:r>
        <w:t>Os resultados corroboram a utilidade do NDVI como indicador primário para análise da cobertura vegetal, especialmente quando integrado com outros índices para diferenciação de corpos d'água. A interpretação dos valores, entretanto, deve considerar o contexto ecológico e geográfico específico.</w:t>
      </w:r>
    </w:p>
    <w:p w14:paraId="00CF73FD" w14:textId="77777777" w:rsidR="0051609B" w:rsidRDefault="0051609B" w:rsidP="0051609B">
      <w:pPr>
        <w:pStyle w:val="whitespace-normal"/>
      </w:pPr>
      <w:r>
        <w:t xml:space="preserve">Os padrões de distribuição de classes nas diferentes regiões refletem características conhecidas dos biomas correspondentes: alta densidade de vegetação na Amazônia; </w:t>
      </w:r>
      <w:r>
        <w:lastRenderedPageBreak/>
        <w:t>padrão heterogêneo no Cerrado; e predominância de superfícies impermeáveis em áreas urbanas.</w:t>
      </w:r>
    </w:p>
    <w:p w14:paraId="05FCFB9B" w14:textId="65843F22" w:rsidR="00960ABE" w:rsidRDefault="00960ABE" w:rsidP="0051609B">
      <w:pPr>
        <w:pStyle w:val="whitespace-normal"/>
      </w:pPr>
      <w:r>
        <w:t>A abordagem de classificação em seis níveis de vegetação mostrou-se adequada para capturar a gradação da cobertura vegetal em diferentes contextos, semelhante à estratificação proposta por Xie et al. [</w:t>
      </w:r>
      <w:r w:rsidR="00F77B07">
        <w:t>12</w:t>
      </w:r>
      <w:r>
        <w:t>] em estudos de sensoriamento remoto de vegetação.</w:t>
      </w:r>
    </w:p>
    <w:p w14:paraId="14E6060C" w14:textId="37745C12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4.2 Desempenho da CNN versus Classificação por Limiares</w:t>
      </w:r>
    </w:p>
    <w:p w14:paraId="5782BEE1" w14:textId="77777777" w:rsidR="0051609B" w:rsidRDefault="0051609B" w:rsidP="0051609B">
      <w:pPr>
        <w:pStyle w:val="whitespace-normal"/>
      </w:pPr>
      <w:r>
        <w:t>A comparação entre a abordagem baseada em CNN e a classificação tradicional por limiares revelou que, embora o modelo neural apresente melhor capacidade de generalização em paisagens complexas, a classificação por limiares continua sendo uma alternativa robusta e interpretável. Cada abordagem apresenta vantagens específicas:</w:t>
      </w:r>
    </w:p>
    <w:p w14:paraId="4DE1AEFE" w14:textId="77777777" w:rsidR="0051609B" w:rsidRDefault="0051609B" w:rsidP="0051609B">
      <w:pPr>
        <w:pStyle w:val="whitespace-normal"/>
      </w:pPr>
      <w:r>
        <w:rPr>
          <w:rStyle w:val="Forte"/>
        </w:rPr>
        <w:t>CNN:</w:t>
      </w:r>
    </w:p>
    <w:p w14:paraId="660321FC" w14:textId="77777777" w:rsidR="0051609B" w:rsidRDefault="0051609B" w:rsidP="0051609B">
      <w:pPr>
        <w:pStyle w:val="whitespace-normal"/>
        <w:numPr>
          <w:ilvl w:val="0"/>
          <w:numId w:val="36"/>
        </w:numPr>
      </w:pPr>
      <w:r>
        <w:t>Melhor desempenho em paisagens heterogêneas</w:t>
      </w:r>
    </w:p>
    <w:p w14:paraId="213BA6FA" w14:textId="77777777" w:rsidR="0051609B" w:rsidRDefault="0051609B" w:rsidP="0051609B">
      <w:pPr>
        <w:pStyle w:val="whitespace-normal"/>
        <w:numPr>
          <w:ilvl w:val="0"/>
          <w:numId w:val="36"/>
        </w:numPr>
      </w:pPr>
      <w:r>
        <w:t>Capacidade de aprender padrões espaciais além de valores absolutos</w:t>
      </w:r>
    </w:p>
    <w:p w14:paraId="088183EA" w14:textId="77777777" w:rsidR="0051609B" w:rsidRDefault="0051609B" w:rsidP="0051609B">
      <w:pPr>
        <w:pStyle w:val="whitespace-normal"/>
        <w:numPr>
          <w:ilvl w:val="0"/>
          <w:numId w:val="36"/>
        </w:numPr>
      </w:pPr>
      <w:r>
        <w:t>Maior robustez a ruídos e variações locais</w:t>
      </w:r>
    </w:p>
    <w:p w14:paraId="6BAE593C" w14:textId="77777777" w:rsidR="0051609B" w:rsidRDefault="0051609B" w:rsidP="0051609B">
      <w:pPr>
        <w:pStyle w:val="whitespace-normal"/>
      </w:pPr>
      <w:r>
        <w:rPr>
          <w:rStyle w:val="Forte"/>
        </w:rPr>
        <w:t>Classificação por limiares:</w:t>
      </w:r>
    </w:p>
    <w:p w14:paraId="1AA2399A" w14:textId="77777777" w:rsidR="0051609B" w:rsidRDefault="0051609B" w:rsidP="0051609B">
      <w:pPr>
        <w:pStyle w:val="whitespace-normal"/>
        <w:numPr>
          <w:ilvl w:val="0"/>
          <w:numId w:val="37"/>
        </w:numPr>
      </w:pPr>
      <w:proofErr w:type="spellStart"/>
      <w:r>
        <w:t>Interpretabilidade</w:t>
      </w:r>
      <w:proofErr w:type="spellEnd"/>
      <w:r>
        <w:t xml:space="preserve"> direta</w:t>
      </w:r>
    </w:p>
    <w:p w14:paraId="5C888483" w14:textId="77777777" w:rsidR="0051609B" w:rsidRDefault="0051609B" w:rsidP="0051609B">
      <w:pPr>
        <w:pStyle w:val="whitespace-normal"/>
        <w:numPr>
          <w:ilvl w:val="0"/>
          <w:numId w:val="37"/>
        </w:numPr>
      </w:pPr>
      <w:r>
        <w:t>Não requer treinamento prévio</w:t>
      </w:r>
    </w:p>
    <w:p w14:paraId="7C507EF0" w14:textId="77777777" w:rsidR="0051609B" w:rsidRDefault="0051609B" w:rsidP="0051609B">
      <w:pPr>
        <w:pStyle w:val="whitespace-normal"/>
        <w:numPr>
          <w:ilvl w:val="0"/>
          <w:numId w:val="37"/>
        </w:numPr>
      </w:pPr>
      <w:r>
        <w:t>Menor demanda computacional</w:t>
      </w:r>
    </w:p>
    <w:p w14:paraId="3722A5DD" w14:textId="77777777" w:rsidR="0051609B" w:rsidRDefault="0051609B" w:rsidP="0051609B">
      <w:pPr>
        <w:pStyle w:val="whitespace-normal"/>
        <w:numPr>
          <w:ilvl w:val="0"/>
          <w:numId w:val="37"/>
        </w:numPr>
      </w:pPr>
      <w:r>
        <w:t>Transparência na tomada de decisão</w:t>
      </w:r>
    </w:p>
    <w:p w14:paraId="195B206B" w14:textId="77E270A9" w:rsidR="00960ABE" w:rsidRDefault="00960ABE" w:rsidP="0051609B">
      <w:pPr>
        <w:pStyle w:val="whitespace-normal"/>
      </w:pPr>
      <w:r>
        <w:t xml:space="preserve">Estes resultados são consistentes com os relatados por </w:t>
      </w:r>
      <w:proofErr w:type="spellStart"/>
      <w:r>
        <w:t>Ma</w:t>
      </w:r>
      <w:proofErr w:type="spellEnd"/>
      <w:r>
        <w:t xml:space="preserve"> et al. [1</w:t>
      </w:r>
      <w:r w:rsidR="00F77B07">
        <w:t>3</w:t>
      </w:r>
      <w:r>
        <w:t>], que destacaram a superioridade de abordagens de aprendizado profundo em cenários complexos, mas também reconheceram a utilidade contínua de métodos tradicionais para casos específicos.</w:t>
      </w:r>
    </w:p>
    <w:p w14:paraId="452F1298" w14:textId="57D4CA20" w:rsidR="0051609B" w:rsidRPr="0051609B" w:rsidRDefault="0051609B" w:rsidP="0051609B">
      <w:pPr>
        <w:pStyle w:val="whitespace-normal"/>
        <w:rPr>
          <w:sz w:val="27"/>
          <w:szCs w:val="27"/>
        </w:rPr>
      </w:pPr>
      <w:r w:rsidRPr="0051609B">
        <w:rPr>
          <w:rStyle w:val="Forte"/>
          <w:sz w:val="27"/>
          <w:szCs w:val="27"/>
        </w:rPr>
        <w:t>4.3 Índice de Saúde Vegetal e Aplicações Práticas</w:t>
      </w:r>
    </w:p>
    <w:p w14:paraId="39E918C7" w14:textId="77777777" w:rsidR="0051609B" w:rsidRDefault="0051609B" w:rsidP="0051609B">
      <w:pPr>
        <w:pStyle w:val="whitespace-normal"/>
      </w:pPr>
      <w:r>
        <w:t>O índice de saúde vegetal proposto demonstrou sensibilidade adequada para diferenciação de condições ecológicas distintas. As quatro categorias definidas fornecem um framework interpretativo acessível para usuários finais como gestores ambientais e tomadores de decisão.</w:t>
      </w:r>
    </w:p>
    <w:p w14:paraId="3E684FAD" w14:textId="77777777" w:rsidR="0051609B" w:rsidRDefault="0051609B" w:rsidP="0051609B">
      <w:pPr>
        <w:pStyle w:val="whitespace-normal"/>
      </w:pPr>
      <w:r>
        <w:t>As aplicações práticas do sistema incluem:</w:t>
      </w:r>
    </w:p>
    <w:p w14:paraId="42C58154" w14:textId="77777777" w:rsidR="0051609B" w:rsidRDefault="0051609B" w:rsidP="0051609B">
      <w:pPr>
        <w:pStyle w:val="whitespace-normal"/>
        <w:numPr>
          <w:ilvl w:val="0"/>
          <w:numId w:val="38"/>
        </w:numPr>
      </w:pPr>
      <w:r>
        <w:rPr>
          <w:rStyle w:val="Forte"/>
        </w:rPr>
        <w:t>Monitoramento ambiental</w:t>
      </w:r>
      <w:r>
        <w:t>: Detecção de degradação ou recuperação de áreas naturais</w:t>
      </w:r>
    </w:p>
    <w:p w14:paraId="2DFF596B" w14:textId="77777777" w:rsidR="0051609B" w:rsidRDefault="0051609B" w:rsidP="0051609B">
      <w:pPr>
        <w:pStyle w:val="whitespace-normal"/>
        <w:numPr>
          <w:ilvl w:val="0"/>
          <w:numId w:val="38"/>
        </w:numPr>
      </w:pPr>
      <w:r>
        <w:rPr>
          <w:rStyle w:val="Forte"/>
        </w:rPr>
        <w:t>Agricultura de precisão</w:t>
      </w:r>
      <w:r>
        <w:t>: Avaliação da saúde de cultivos</w:t>
      </w:r>
    </w:p>
    <w:p w14:paraId="381638E9" w14:textId="77777777" w:rsidR="0051609B" w:rsidRDefault="0051609B" w:rsidP="0051609B">
      <w:pPr>
        <w:pStyle w:val="whitespace-normal"/>
        <w:numPr>
          <w:ilvl w:val="0"/>
          <w:numId w:val="38"/>
        </w:numPr>
      </w:pPr>
      <w:r>
        <w:rPr>
          <w:rStyle w:val="Forte"/>
        </w:rPr>
        <w:t>Gestão florestal</w:t>
      </w:r>
      <w:r>
        <w:t>: Monitoramento de desmatamento e regeneração</w:t>
      </w:r>
    </w:p>
    <w:p w14:paraId="479210B8" w14:textId="77777777" w:rsidR="0051609B" w:rsidRDefault="0051609B" w:rsidP="0051609B">
      <w:pPr>
        <w:pStyle w:val="whitespace-normal"/>
        <w:numPr>
          <w:ilvl w:val="0"/>
          <w:numId w:val="38"/>
        </w:numPr>
      </w:pPr>
      <w:r>
        <w:rPr>
          <w:rStyle w:val="Forte"/>
        </w:rPr>
        <w:t>Planejamento urbano</w:t>
      </w:r>
      <w:r>
        <w:t>: Avaliação de cobertura vegetal em áreas urbanas</w:t>
      </w:r>
    </w:p>
    <w:p w14:paraId="49984706" w14:textId="77777777" w:rsidR="0051609B" w:rsidRDefault="0051609B" w:rsidP="0051609B">
      <w:pPr>
        <w:pStyle w:val="whitespace-normal"/>
        <w:numPr>
          <w:ilvl w:val="0"/>
          <w:numId w:val="38"/>
        </w:numPr>
      </w:pPr>
      <w:r>
        <w:rPr>
          <w:rStyle w:val="Forte"/>
        </w:rPr>
        <w:t>Estudos de impacto ambiental</w:t>
      </w:r>
      <w:r>
        <w:t>: Análise comparativa antes/depois em áreas sujeitas a intervenções</w:t>
      </w:r>
    </w:p>
    <w:p w14:paraId="2B459C18" w14:textId="05B0B833" w:rsidR="00960ABE" w:rsidRDefault="00960ABE" w:rsidP="0051609B">
      <w:pPr>
        <w:pStyle w:val="whitespace-normal"/>
      </w:pPr>
      <w:r>
        <w:lastRenderedPageBreak/>
        <w:t xml:space="preserve">Estes usos alinham-se com aplicações descritas por </w:t>
      </w:r>
      <w:proofErr w:type="spellStart"/>
      <w:r>
        <w:t>Tamiminia</w:t>
      </w:r>
      <w:proofErr w:type="spellEnd"/>
      <w:r>
        <w:t xml:space="preserve"> et al. [1</w:t>
      </w:r>
      <w:r w:rsidR="00F77B07">
        <w:t>4</w:t>
      </w:r>
      <w:r>
        <w:t xml:space="preserve">] para sistemas baseados em Google Earth </w:t>
      </w:r>
      <w:proofErr w:type="spellStart"/>
      <w:r>
        <w:t>Engine</w:t>
      </w:r>
      <w:proofErr w:type="spellEnd"/>
      <w:r>
        <w:t>.</w:t>
      </w:r>
    </w:p>
    <w:p w14:paraId="2273FA44" w14:textId="60CCC8F0" w:rsidR="0051609B" w:rsidRPr="00BE4242" w:rsidRDefault="0051609B" w:rsidP="0051609B">
      <w:pPr>
        <w:pStyle w:val="whitespace-normal"/>
        <w:rPr>
          <w:sz w:val="27"/>
          <w:szCs w:val="27"/>
        </w:rPr>
      </w:pPr>
      <w:r w:rsidRPr="00BE4242">
        <w:rPr>
          <w:rStyle w:val="Forte"/>
          <w:sz w:val="27"/>
          <w:szCs w:val="27"/>
        </w:rPr>
        <w:t>5. Conclusão</w:t>
      </w:r>
    </w:p>
    <w:p w14:paraId="5654C683" w14:textId="77777777" w:rsidR="0051609B" w:rsidRDefault="0051609B" w:rsidP="0051609B">
      <w:pPr>
        <w:pStyle w:val="whitespace-normal"/>
      </w:pPr>
      <w:r>
        <w:t xml:space="preserve">Este trabalho apresentou um sistema integrado para classificação e análise da saúde vegetal baseado em índices espectrais derivados de imagens Sentinel-2, utilizando processamento em nuvem via Google Earth </w:t>
      </w:r>
      <w:proofErr w:type="spellStart"/>
      <w:r>
        <w:t>Engine</w:t>
      </w:r>
      <w:proofErr w:type="spellEnd"/>
      <w:r>
        <w:t xml:space="preserve"> e classificação via redes neurais </w:t>
      </w:r>
      <w:proofErr w:type="spellStart"/>
      <w:r>
        <w:t>convolucionais</w:t>
      </w:r>
      <w:proofErr w:type="spellEnd"/>
      <w:r>
        <w:t>. Os resultados demonstram a viabilidade e eficácia da abordagem proposta para aplicações em monitoramento ambiental, gestão de recursos naturais e agricultura de precisão.</w:t>
      </w:r>
    </w:p>
    <w:p w14:paraId="0D507831" w14:textId="77777777" w:rsidR="0051609B" w:rsidRDefault="0051609B" w:rsidP="0051609B">
      <w:pPr>
        <w:pStyle w:val="whitespace-normal"/>
      </w:pPr>
      <w:r>
        <w:t>A metodologia desenvolvida demonstrou sensibilidade adequada para capturar padrões complexos de vegetação em diferentes contextos ecológicos. O índice de saúde vegetal proposto mostrou-se um indicador robusto e interpretável para avaliação da condição ecológica em diferentes escalas espaciais.</w:t>
      </w:r>
    </w:p>
    <w:p w14:paraId="631FB927" w14:textId="77777777" w:rsidR="0051609B" w:rsidRDefault="0051609B" w:rsidP="0051609B">
      <w:pPr>
        <w:pStyle w:val="whitespace-normal"/>
      </w:pPr>
      <w:r>
        <w:t>As análises comparativas entre biomas distintos revelaram a capacidade do sistema em diferenciar estruturas de vegetação, desde florestas densas amazônicas (índice 0.86) até áreas urbanas (índice 0.29), com resultados consistentes com a literatura científica existente.</w:t>
      </w:r>
    </w:p>
    <w:p w14:paraId="530F06B3" w14:textId="77777777" w:rsidR="0051609B" w:rsidRDefault="0051609B" w:rsidP="0051609B">
      <w:pPr>
        <w:pStyle w:val="whitespace-normal"/>
      </w:pPr>
      <w:r>
        <w:t>O desempenho do modelo CNN (acurácia 98%) superou métodos tradicionais de classificação reportados em estudos anteriores, confirmando o potencial do aprendizado profundo para análise avançada de sensoriamento remoto.</w:t>
      </w:r>
    </w:p>
    <w:p w14:paraId="0280F2B3" w14:textId="77777777" w:rsidR="0051609B" w:rsidRDefault="0051609B" w:rsidP="0051609B">
      <w:pPr>
        <w:pStyle w:val="whitespace-normal"/>
      </w:pPr>
      <w:r>
        <w:t>Este estudo representa um passo promissor na automação de sistemas de monitoramento ambiental, combinando sensoriamento remoto, aprendizado profundo e computação em nuvem. Apesar das limitações atuais, os resultados obtidos sugerem forte aplicabilidade prática e apontam para caminhos relevantes de pesquisa futura, como a calibração regional, validação em campo e integração multissensorial.</w:t>
      </w:r>
    </w:p>
    <w:p w14:paraId="27EB5F32" w14:textId="77777777" w:rsidR="0051609B" w:rsidRDefault="0051609B" w:rsidP="0051609B">
      <w:pPr>
        <w:pStyle w:val="whitespace-normal"/>
      </w:pPr>
      <w:r>
        <w:t>Futuros desenvolvimentos poderão focar no refinamento dos algoritmos de classificação, expansão para outros satélites e sensores, e validação extensiva em diversos contextos ecológicos. Particularmente promissora é a integração com abordagens de ciência cidadã e coleta colaborativa de dados de campo, que poderia fortalecer os modelos com validação terrestre em escala global.</w:t>
      </w:r>
    </w:p>
    <w:p w14:paraId="1AE812EB" w14:textId="77777777" w:rsidR="00631D4E" w:rsidRPr="00BE4242" w:rsidRDefault="00631D4E" w:rsidP="00631D4E">
      <w:pPr>
        <w:pStyle w:val="Ttulo2"/>
        <w:rPr>
          <w:sz w:val="27"/>
          <w:szCs w:val="27"/>
          <w:lang w:val="en-US"/>
        </w:rPr>
      </w:pPr>
      <w:proofErr w:type="spellStart"/>
      <w:r w:rsidRPr="00BE4242">
        <w:rPr>
          <w:sz w:val="27"/>
          <w:szCs w:val="27"/>
          <w:lang w:val="en-US"/>
        </w:rPr>
        <w:t>Referências</w:t>
      </w:r>
      <w:proofErr w:type="spellEnd"/>
    </w:p>
    <w:p w14:paraId="542ADB5E" w14:textId="252D1AC6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Coppin, P.,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Jonckheere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I.,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Nackaerts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K.,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Muys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B., &amp;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Lambin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E. (2004). Digital change detection methods in ecosystem monitoring: a review.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International Journal of Remote Sensing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25(9), 1565-1596. </w:t>
      </w:r>
      <w:hyperlink r:id="rId11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https://doi.org/10.1080/0143116031000101675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0B2E9133" w14:textId="144161FE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Xue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J., &amp;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Su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B. (2017). Significant remote sensing vegetation indices: A review of developments and applications.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Journal of Sensors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2017, 1353691. </w:t>
      </w:r>
      <w:hyperlink r:id="rId12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https://doi.org/10.1155/2017/1353691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14850229" w14:textId="310B1908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Pettorelli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N., Vik, J. O.,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Mysterud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A., Gaillard, J. M., Tucker, C. J., &amp;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Stenseth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N. C. (2005). Using the satellite-derived NDVI to assess 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lastRenderedPageBreak/>
        <w:t xml:space="preserve">ecological responses to environmental change.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Trends in Ecology &amp; Evolution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20(9), 503-510. </w:t>
      </w:r>
      <w:hyperlink r:id="rId13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https://doi.org/10.1016/j.tree.2005.05.011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4DB08DF3" w14:textId="744E5286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Drusch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M., Del Bello, U.,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Carlier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S., Colin, O., Fernandez, V., Gascon, F.,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Hoersch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B., Isola, C.,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Laberinti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P.,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Martimort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P.,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Meygret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A.,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Spoto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F., Sy, O., Marchese, F., &amp;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Bargellini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P. (2012). Sentinel-2: ESA's optical high-resolution mission for GMES operational services.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Remote Sensing of Environment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120, 25-36. </w:t>
      </w:r>
      <w:hyperlink r:id="rId14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https://doi.org/10.1016/j.rse.2011.11.026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09427FD1" w14:textId="16F1FD6F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Gorelick, N.,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Hancher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M., Dixon, M.,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Ilyushchenko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S.,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Thau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D., &amp; Moore, R. (2017). Google Earth Engine: Planetary-scale geospatial analysis for everyone.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Remote Sensing of Environment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202, 18-27. </w:t>
      </w:r>
      <w:hyperlink r:id="rId15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https://doi.org/10.1016/j.rse.2017.06.031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572E34EA" w14:textId="2F3AD80A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Zhu, X. X., Tuia, D.,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>Mou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L.,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>Xia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G. S., Zhang, L.,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>Xu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F., &amp;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>Fraundorfer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F. (2017). 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Deep learning in remote sensing: A comprehensive review and list of resources.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IEEE Geoscience and Remote Sensing Magazine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5(4), 8-36. </w:t>
      </w:r>
      <w:hyperlink r:id="rId16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https://doi.org/10.1109/MGRS.2017.2762307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22B0D37F" w14:textId="29650F70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Zhang, C., Sargent, I., Pan, X., Li, H., Gardiner, A., Hare, J., &amp; Atkinson, P. M. (2018). An object-based convolutional neural network (OCNN) for urban land use classification.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Remote Sensing of Environment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216, 57-70. </w:t>
      </w:r>
      <w:hyperlink r:id="rId17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https://doi.org/10.1016/j.rse.2018.06.034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74AE647C" w14:textId="1E740D66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Maxwell, A. E., Warner, T. A., &amp; Fang, F. (2018). Implementation of machine-learning classification in remote sensing: An applied review.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International Journal of Remote Sensing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39(9), 2784-2817. </w:t>
      </w:r>
      <w:hyperlink r:id="rId18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https://doi.org/10.1080/01431161.2018.1433343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6151CF79" w14:textId="741556B4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Gandhi, G. M., Parthiban, S.,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Thummalu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N., &amp; Christy, A. (2015). NDVI: Vegetation change detection using remote sensing and GIS -- A case study of Vellore District.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Procedia Computer Science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57, 1199-1210. </w:t>
      </w:r>
      <w:hyperlink r:id="rId19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https://doi.org/10.1016/j.procs.2015.07.415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1A913A7D" w14:textId="6D112545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Guo, H., Chen, S., Bao, A., Hu, J.,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Gebregiorgis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A. S.,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Xue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X., &amp; Zhang, X. (2015). Inter-comparison of high-resolution satellite precipitation products over Central Asia.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Remote Sensing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7(6), 7181-7211. </w:t>
      </w:r>
      <w:hyperlink r:id="rId20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https://doi.org/10.3390/rs70607181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507D859B" w14:textId="4B443F8F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Huang, X., &amp; Jensen, J. R. (1997). A machine-learning approach to automated knowledge-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base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building for remote sensing image analysis with GIS data.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Photogrammetric Engineering and Remote Sensing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63(10), 1185-1194. </w:t>
      </w:r>
    </w:p>
    <w:p w14:paraId="7A7B6DFC" w14:textId="024BC5EA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Xie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Y., Sha, Z., &amp; Yu, M. (2008). Remote sensing imagery in vegetation mapping: a review.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Journal of Plant Ecology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1(1), 9-23. </w:t>
      </w:r>
      <w:hyperlink r:id="rId21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https://doi.org/10.1093/jpe/rtm005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6C376537" w14:textId="244A8AEA" w:rsidR="00375BA9" w:rsidRPr="00375BA9" w:rsidRDefault="00375BA9" w:rsidP="00375BA9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Ma, L., Liu, Y., Zhang, X., Ye, Y., Yin, G., &amp; Johnson, B. A. (2019). Deep learning in remote sensing applications: A meta-analysis and review.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ISPRS Journal of Photogrammetry and Remote Sensing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152, 166-177. </w:t>
      </w:r>
      <w:hyperlink r:id="rId22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https://doi.org/10.1016/j.isprsjprs.2019.04.015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14:paraId="32B12D27" w14:textId="6B8BD2AF" w:rsidR="003863BB" w:rsidRPr="00557257" w:rsidRDefault="00375BA9" w:rsidP="00557257">
      <w:pPr>
        <w:pStyle w:val="PargrafodaLista"/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Tamiminia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H., Salehi, B.,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Mahdianpari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M., Quackenbush, L.,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Adeli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S., &amp; </w:t>
      </w:r>
      <w:proofErr w:type="spellStart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Brisco</w:t>
      </w:r>
      <w:proofErr w:type="spellEnd"/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B. (2020). Google Earth Engine for geo-big data applications: A meta-analysis and systematic review.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 xml:space="preserve">ISPRS Journal of </w:t>
      </w:r>
      <w:r w:rsidRPr="00375BA9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lastRenderedPageBreak/>
        <w:t>Photogrammetry and Remote Sensing</w:t>
      </w:r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164, 152-170. </w:t>
      </w:r>
      <w:hyperlink r:id="rId23" w:history="1">
        <w:r w:rsidRPr="00375BA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</w:rPr>
          <w:t>https://doi.org/10.1016/j.isprsjprs.2020.04.001</w:t>
        </w:r>
      </w:hyperlink>
      <w:r w:rsidRPr="00375BA9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sectPr w:rsidR="003863BB" w:rsidRPr="005572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A7461"/>
    <w:multiLevelType w:val="multilevel"/>
    <w:tmpl w:val="D66A6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E063A"/>
    <w:multiLevelType w:val="multilevel"/>
    <w:tmpl w:val="36B29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22D18"/>
    <w:multiLevelType w:val="multilevel"/>
    <w:tmpl w:val="46D8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F100B"/>
    <w:multiLevelType w:val="multilevel"/>
    <w:tmpl w:val="35C4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478EC"/>
    <w:multiLevelType w:val="multilevel"/>
    <w:tmpl w:val="9CE46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81F38"/>
    <w:multiLevelType w:val="multilevel"/>
    <w:tmpl w:val="B61AA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2B3757"/>
    <w:multiLevelType w:val="multilevel"/>
    <w:tmpl w:val="985A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464EAA"/>
    <w:multiLevelType w:val="multilevel"/>
    <w:tmpl w:val="1C789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AB5D15"/>
    <w:multiLevelType w:val="multilevel"/>
    <w:tmpl w:val="5B1A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FD3A1B"/>
    <w:multiLevelType w:val="multilevel"/>
    <w:tmpl w:val="CB5AC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86AAB"/>
    <w:multiLevelType w:val="multilevel"/>
    <w:tmpl w:val="F814B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D4666"/>
    <w:multiLevelType w:val="multilevel"/>
    <w:tmpl w:val="C9DA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4C6FB2"/>
    <w:multiLevelType w:val="multilevel"/>
    <w:tmpl w:val="97064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A2507E"/>
    <w:multiLevelType w:val="multilevel"/>
    <w:tmpl w:val="760E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D02C42"/>
    <w:multiLevelType w:val="multilevel"/>
    <w:tmpl w:val="36B2D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48511A"/>
    <w:multiLevelType w:val="multilevel"/>
    <w:tmpl w:val="46327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DB787A"/>
    <w:multiLevelType w:val="multilevel"/>
    <w:tmpl w:val="53DED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1808D5"/>
    <w:multiLevelType w:val="multilevel"/>
    <w:tmpl w:val="1D6E7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89777F"/>
    <w:multiLevelType w:val="multilevel"/>
    <w:tmpl w:val="48A44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9959EC"/>
    <w:multiLevelType w:val="multilevel"/>
    <w:tmpl w:val="FC9A6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9C3040"/>
    <w:multiLevelType w:val="multilevel"/>
    <w:tmpl w:val="70A6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692C7A"/>
    <w:multiLevelType w:val="hybridMultilevel"/>
    <w:tmpl w:val="0ED43B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E81988"/>
    <w:multiLevelType w:val="multilevel"/>
    <w:tmpl w:val="7E2A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C7290C"/>
    <w:multiLevelType w:val="multilevel"/>
    <w:tmpl w:val="DFBCC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B343E1"/>
    <w:multiLevelType w:val="multilevel"/>
    <w:tmpl w:val="89A63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9A1205"/>
    <w:multiLevelType w:val="multilevel"/>
    <w:tmpl w:val="FE107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4B0DB3"/>
    <w:multiLevelType w:val="multilevel"/>
    <w:tmpl w:val="7D6C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A522A8"/>
    <w:multiLevelType w:val="multilevel"/>
    <w:tmpl w:val="A38E1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A81880"/>
    <w:multiLevelType w:val="multilevel"/>
    <w:tmpl w:val="2A3CC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737114"/>
    <w:multiLevelType w:val="multilevel"/>
    <w:tmpl w:val="B4B2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DF0982"/>
    <w:multiLevelType w:val="multilevel"/>
    <w:tmpl w:val="016C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A17C9D"/>
    <w:multiLevelType w:val="multilevel"/>
    <w:tmpl w:val="B8506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F026C2"/>
    <w:multiLevelType w:val="multilevel"/>
    <w:tmpl w:val="2F289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0125A2"/>
    <w:multiLevelType w:val="multilevel"/>
    <w:tmpl w:val="0682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84194"/>
    <w:multiLevelType w:val="multilevel"/>
    <w:tmpl w:val="1150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A57EE0"/>
    <w:multiLevelType w:val="multilevel"/>
    <w:tmpl w:val="311A1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E455C8"/>
    <w:multiLevelType w:val="multilevel"/>
    <w:tmpl w:val="3ACE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CB67EB"/>
    <w:multiLevelType w:val="multilevel"/>
    <w:tmpl w:val="CF6E4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AA3085"/>
    <w:multiLevelType w:val="multilevel"/>
    <w:tmpl w:val="5912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F45152"/>
    <w:multiLevelType w:val="multilevel"/>
    <w:tmpl w:val="E030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D963D0"/>
    <w:multiLevelType w:val="multilevel"/>
    <w:tmpl w:val="F3164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4"/>
  </w:num>
  <w:num w:numId="3">
    <w:abstractNumId w:val="26"/>
  </w:num>
  <w:num w:numId="4">
    <w:abstractNumId w:val="23"/>
  </w:num>
  <w:num w:numId="5">
    <w:abstractNumId w:val="30"/>
  </w:num>
  <w:num w:numId="6">
    <w:abstractNumId w:val="18"/>
  </w:num>
  <w:num w:numId="7">
    <w:abstractNumId w:val="19"/>
  </w:num>
  <w:num w:numId="8">
    <w:abstractNumId w:val="38"/>
  </w:num>
  <w:num w:numId="9">
    <w:abstractNumId w:val="32"/>
  </w:num>
  <w:num w:numId="10">
    <w:abstractNumId w:val="8"/>
  </w:num>
  <w:num w:numId="11">
    <w:abstractNumId w:val="15"/>
  </w:num>
  <w:num w:numId="12">
    <w:abstractNumId w:val="22"/>
  </w:num>
  <w:num w:numId="13">
    <w:abstractNumId w:val="33"/>
  </w:num>
  <w:num w:numId="14">
    <w:abstractNumId w:val="34"/>
  </w:num>
  <w:num w:numId="15">
    <w:abstractNumId w:val="4"/>
  </w:num>
  <w:num w:numId="16">
    <w:abstractNumId w:val="39"/>
  </w:num>
  <w:num w:numId="17">
    <w:abstractNumId w:val="29"/>
  </w:num>
  <w:num w:numId="18">
    <w:abstractNumId w:val="2"/>
  </w:num>
  <w:num w:numId="19">
    <w:abstractNumId w:val="17"/>
  </w:num>
  <w:num w:numId="20">
    <w:abstractNumId w:val="31"/>
  </w:num>
  <w:num w:numId="21">
    <w:abstractNumId w:val="12"/>
  </w:num>
  <w:num w:numId="22">
    <w:abstractNumId w:val="3"/>
  </w:num>
  <w:num w:numId="23">
    <w:abstractNumId w:val="27"/>
  </w:num>
  <w:num w:numId="24">
    <w:abstractNumId w:val="24"/>
  </w:num>
  <w:num w:numId="25">
    <w:abstractNumId w:val="28"/>
  </w:num>
  <w:num w:numId="26">
    <w:abstractNumId w:val="7"/>
  </w:num>
  <w:num w:numId="27">
    <w:abstractNumId w:val="25"/>
  </w:num>
  <w:num w:numId="28">
    <w:abstractNumId w:val="20"/>
  </w:num>
  <w:num w:numId="29">
    <w:abstractNumId w:val="1"/>
  </w:num>
  <w:num w:numId="30">
    <w:abstractNumId w:val="13"/>
  </w:num>
  <w:num w:numId="31">
    <w:abstractNumId w:val="35"/>
  </w:num>
  <w:num w:numId="32">
    <w:abstractNumId w:val="36"/>
  </w:num>
  <w:num w:numId="33">
    <w:abstractNumId w:val="40"/>
  </w:num>
  <w:num w:numId="34">
    <w:abstractNumId w:val="9"/>
  </w:num>
  <w:num w:numId="35">
    <w:abstractNumId w:val="5"/>
  </w:num>
  <w:num w:numId="36">
    <w:abstractNumId w:val="11"/>
  </w:num>
  <w:num w:numId="37">
    <w:abstractNumId w:val="6"/>
  </w:num>
  <w:num w:numId="38">
    <w:abstractNumId w:val="37"/>
  </w:num>
  <w:num w:numId="39">
    <w:abstractNumId w:val="0"/>
  </w:num>
  <w:num w:numId="40">
    <w:abstractNumId w:val="10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D4E"/>
    <w:rsid w:val="00102D3E"/>
    <w:rsid w:val="002700F4"/>
    <w:rsid w:val="002E0B40"/>
    <w:rsid w:val="00375BA9"/>
    <w:rsid w:val="003863BB"/>
    <w:rsid w:val="0051609B"/>
    <w:rsid w:val="00542F52"/>
    <w:rsid w:val="005513A1"/>
    <w:rsid w:val="00557257"/>
    <w:rsid w:val="005D5227"/>
    <w:rsid w:val="006115E6"/>
    <w:rsid w:val="00631D4E"/>
    <w:rsid w:val="007018D6"/>
    <w:rsid w:val="008475C2"/>
    <w:rsid w:val="008B01B7"/>
    <w:rsid w:val="008B5B8F"/>
    <w:rsid w:val="00960ABE"/>
    <w:rsid w:val="00A80B68"/>
    <w:rsid w:val="00AD7AE8"/>
    <w:rsid w:val="00BE4242"/>
    <w:rsid w:val="00C154D4"/>
    <w:rsid w:val="00E72235"/>
    <w:rsid w:val="00F7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1EEAB"/>
  <w15:chartTrackingRefBased/>
  <w15:docId w15:val="{C23F0DD7-FF71-4A18-9748-B0F08EB9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31D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631D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631D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631D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31D4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31D4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31D4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31D4E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whitespace-normal">
    <w:name w:val="whitespace-normal"/>
    <w:basedOn w:val="Normal"/>
    <w:rsid w:val="00631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31D4E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631D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31D4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31D4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631D4E"/>
  </w:style>
  <w:style w:type="character" w:styleId="nfase">
    <w:name w:val="Emphasis"/>
    <w:basedOn w:val="Fontepargpadro"/>
    <w:uiPriority w:val="20"/>
    <w:qFormat/>
    <w:rsid w:val="00631D4E"/>
    <w:rPr>
      <w:i/>
      <w:iCs/>
    </w:rPr>
  </w:style>
  <w:style w:type="character" w:styleId="Hyperlink">
    <w:name w:val="Hyperlink"/>
    <w:basedOn w:val="Fontepargpadro"/>
    <w:uiPriority w:val="99"/>
    <w:unhideWhenUsed/>
    <w:rsid w:val="00631D4E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018D6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375BA9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5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i.org/10.1016/j.tree.2005.05.011" TargetMode="External"/><Relationship Id="rId18" Type="http://schemas.openxmlformats.org/officeDocument/2006/relationships/hyperlink" Target="https://doi.org/10.1080/01431161.2018.143334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1093/jpe/rtm005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oi.org/10.1155/2017/1353691" TargetMode="External"/><Relationship Id="rId17" Type="http://schemas.openxmlformats.org/officeDocument/2006/relationships/hyperlink" Target="https://doi.org/10.1016/j.rse.2018.06.034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i.org/10.1109/MGRS.2017.2762307" TargetMode="External"/><Relationship Id="rId20" Type="http://schemas.openxmlformats.org/officeDocument/2006/relationships/hyperlink" Target="https://doi.org/10.3390/rs7060718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i.org/10.1080/0143116031000101675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i.org/10.1016/j.rse.2017.06.031" TargetMode="External"/><Relationship Id="rId23" Type="http://schemas.openxmlformats.org/officeDocument/2006/relationships/hyperlink" Target="https://doi.org/10.1016/j.isprsjprs.2020.04.001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oi.org/10.1016/j.procs.2015.07.41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i.org/10.1016/j.rse.2011.11.026" TargetMode="External"/><Relationship Id="rId22" Type="http://schemas.openxmlformats.org/officeDocument/2006/relationships/hyperlink" Target="https://doi.org/10.1016/j.isprsjprs.2019.04.015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3112</Words>
  <Characters>16809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Maiolli</dc:creator>
  <cp:keywords/>
  <dc:description/>
  <cp:lastModifiedBy>Gabriel</cp:lastModifiedBy>
  <cp:revision>10</cp:revision>
  <dcterms:created xsi:type="dcterms:W3CDTF">2025-05-21T13:00:00Z</dcterms:created>
  <dcterms:modified xsi:type="dcterms:W3CDTF">2025-06-09T14:51:00Z</dcterms:modified>
</cp:coreProperties>
</file>