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22014" w14:textId="2513D41F" w:rsidR="00336E7C" w:rsidRPr="00336E7C" w:rsidRDefault="00336E7C" w:rsidP="00336E7C">
      <w:pPr>
        <w:jc w:val="center"/>
        <w:rPr>
          <w:u w:val="single"/>
          <w:lang w:val="en-US"/>
        </w:rPr>
      </w:pPr>
      <w:r w:rsidRPr="00336E7C">
        <w:rPr>
          <w:u w:val="single"/>
          <w:lang w:val="en-US"/>
        </w:rPr>
        <w:t>Functional and Multiblock Approaches for One Health Antimicrobial Resistance Data</w:t>
      </w:r>
    </w:p>
    <w:p w14:paraId="3CBFCE60" w14:textId="199A3A7A" w:rsidR="003C10EA" w:rsidRDefault="00712F33" w:rsidP="003C10EA">
      <w:pPr>
        <w:rPr>
          <w:lang w:val="en-US"/>
        </w:rPr>
      </w:pPr>
      <w:r w:rsidRPr="00712F33">
        <w:rPr>
          <w:lang w:val="en-US"/>
        </w:rPr>
        <w:t>The anti</w:t>
      </w:r>
      <w:r>
        <w:rPr>
          <w:lang w:val="en-US"/>
        </w:rPr>
        <w:t>microbial</w:t>
      </w:r>
      <w:r w:rsidRPr="00712F33">
        <w:rPr>
          <w:lang w:val="en-US"/>
        </w:rPr>
        <w:t xml:space="preserve"> resistance</w:t>
      </w:r>
      <w:r>
        <w:rPr>
          <w:lang w:val="en-US"/>
        </w:rPr>
        <w:t xml:space="preserve"> (AMR)</w:t>
      </w:r>
      <w:r w:rsidRPr="00712F33">
        <w:rPr>
          <w:lang w:val="en-US"/>
        </w:rPr>
        <w:t xml:space="preserve"> is a </w:t>
      </w:r>
      <w:r>
        <w:rPr>
          <w:lang w:val="en-US"/>
        </w:rPr>
        <w:t>public health issue</w:t>
      </w:r>
      <w:r w:rsidR="00560DA5">
        <w:rPr>
          <w:lang w:val="en-US"/>
        </w:rPr>
        <w:t>,</w:t>
      </w:r>
      <w:r>
        <w:rPr>
          <w:lang w:val="en-US"/>
        </w:rPr>
        <w:t xml:space="preserve"> </w:t>
      </w:r>
      <w:r w:rsidR="00560DA5" w:rsidRPr="00560DA5">
        <w:rPr>
          <w:lang w:val="en-US"/>
        </w:rPr>
        <w:t>with the forecast of 10 million deaths per year globally by 2050</w:t>
      </w:r>
      <w:r>
        <w:rPr>
          <w:lang w:val="en-US"/>
        </w:rPr>
        <w:t>.</w:t>
      </w:r>
      <w:r w:rsidR="00B23B7F">
        <w:rPr>
          <w:lang w:val="en-US"/>
        </w:rPr>
        <w:t xml:space="preserve"> </w:t>
      </w:r>
      <w:r w:rsidR="00B23B7F">
        <w:rPr>
          <w:lang w:val="en-US"/>
        </w:rPr>
        <w:t>I</w:t>
      </w:r>
      <w:r w:rsidR="00B23B7F">
        <w:rPr>
          <w:lang w:val="en-US"/>
        </w:rPr>
        <w:t>n a One Health perspective</w:t>
      </w:r>
      <w:r w:rsidR="00CF7F1A">
        <w:rPr>
          <w:lang w:val="en-US"/>
        </w:rPr>
        <w:t xml:space="preserve">, the </w:t>
      </w:r>
      <w:r>
        <w:rPr>
          <w:lang w:val="en-US"/>
        </w:rPr>
        <w:t>Promise monitoring meta-network</w:t>
      </w:r>
      <w:r w:rsidR="009114CB">
        <w:rPr>
          <w:lang w:val="en-US"/>
        </w:rPr>
        <w:t xml:space="preserve"> about AMR</w:t>
      </w:r>
      <w:r w:rsidR="00CF7F1A">
        <w:rPr>
          <w:lang w:val="en-US"/>
        </w:rPr>
        <w:t xml:space="preserve"> was launched in 2021</w:t>
      </w:r>
      <w:r w:rsidR="00B23B7F">
        <w:rPr>
          <w:lang w:val="en-US"/>
        </w:rPr>
        <w:t xml:space="preserve">. </w:t>
      </w:r>
      <w:r w:rsidR="00B23B7F" w:rsidRPr="00B23B7F">
        <w:rPr>
          <w:lang w:val="en-US"/>
        </w:rPr>
        <w:t xml:space="preserve">In this context, we recovered data on </w:t>
      </w:r>
      <w:r w:rsidR="00B23B7F" w:rsidRPr="00B23B7F">
        <w:rPr>
          <w:rStyle w:val="Accentuation"/>
          <w:lang w:val="en-US"/>
        </w:rPr>
        <w:t>E. coli</w:t>
      </w:r>
      <w:r w:rsidR="00B23B7F" w:rsidRPr="00B23B7F">
        <w:rPr>
          <w:lang w:val="en-US"/>
        </w:rPr>
        <w:t xml:space="preserve"> </w:t>
      </w:r>
      <w:r w:rsidR="00B23B7F">
        <w:rPr>
          <w:lang w:val="en-US"/>
        </w:rPr>
        <w:t xml:space="preserve">AMR </w:t>
      </w:r>
      <w:r w:rsidR="00B23B7F" w:rsidRPr="00B23B7F">
        <w:rPr>
          <w:lang w:val="en-US"/>
        </w:rPr>
        <w:t xml:space="preserve">and antibiotic consumption </w:t>
      </w:r>
      <w:r w:rsidR="00B23B7F">
        <w:rPr>
          <w:lang w:val="en-US"/>
        </w:rPr>
        <w:t xml:space="preserve">(AMC) </w:t>
      </w:r>
      <w:r w:rsidR="00B23B7F" w:rsidRPr="00B23B7F">
        <w:rPr>
          <w:lang w:val="en-US"/>
        </w:rPr>
        <w:t>in EHPADs, hospitals, and the community, for several antibiotic families (fluoroquinolones, third-generation cephalosporins, etc.)</w:t>
      </w:r>
      <w:r w:rsidR="009114CB">
        <w:rPr>
          <w:lang w:val="en-US"/>
        </w:rPr>
        <w:t xml:space="preserve">. We also </w:t>
      </w:r>
      <w:r w:rsidR="00791CDB">
        <w:rPr>
          <w:lang w:val="en-US"/>
        </w:rPr>
        <w:t>collected</w:t>
      </w:r>
      <w:r>
        <w:rPr>
          <w:lang w:val="en-US"/>
        </w:rPr>
        <w:t xml:space="preserve"> additional variables </w:t>
      </w:r>
      <w:r w:rsidR="00560DA5">
        <w:rPr>
          <w:lang w:val="en-US"/>
        </w:rPr>
        <w:t xml:space="preserve">grouped into thematic blocks </w:t>
      </w:r>
      <w:r>
        <w:rPr>
          <w:lang w:val="en-US"/>
        </w:rPr>
        <w:t xml:space="preserve">(socio-economic, </w:t>
      </w:r>
      <w:r w:rsidR="00560DA5">
        <w:rPr>
          <w:lang w:val="en-US"/>
        </w:rPr>
        <w:t>e</w:t>
      </w:r>
      <w:r>
        <w:rPr>
          <w:lang w:val="en-US"/>
        </w:rPr>
        <w:t xml:space="preserve">nvironment, </w:t>
      </w:r>
      <w:r w:rsidR="00560DA5">
        <w:rPr>
          <w:lang w:val="en-US"/>
        </w:rPr>
        <w:t>a</w:t>
      </w:r>
      <w:r>
        <w:rPr>
          <w:lang w:val="en-US"/>
        </w:rPr>
        <w:t>griculture, etc.)</w:t>
      </w:r>
      <w:r w:rsidR="00B23B7F">
        <w:rPr>
          <w:lang w:val="en-US"/>
        </w:rPr>
        <w:t xml:space="preserve">. </w:t>
      </w:r>
      <w:r w:rsidR="00B23B7F" w:rsidRPr="00B23B7F">
        <w:rPr>
          <w:lang w:val="en-US"/>
        </w:rPr>
        <w:t xml:space="preserve">For each </w:t>
      </w:r>
      <w:r w:rsidR="00791CDB">
        <w:rPr>
          <w:lang w:val="en-US"/>
        </w:rPr>
        <w:t xml:space="preserve">mainland </w:t>
      </w:r>
      <w:proofErr w:type="spellStart"/>
      <w:r w:rsidR="00791CDB">
        <w:rPr>
          <w:lang w:val="en-US"/>
        </w:rPr>
        <w:t>f</w:t>
      </w:r>
      <w:r w:rsidR="00B23B7F" w:rsidRPr="00B23B7F">
        <w:rPr>
          <w:lang w:val="en-US"/>
        </w:rPr>
        <w:t>rench</w:t>
      </w:r>
      <w:proofErr w:type="spellEnd"/>
      <w:r w:rsidR="00B23B7F" w:rsidRPr="00B23B7F">
        <w:rPr>
          <w:lang w:val="en-US"/>
        </w:rPr>
        <w:t xml:space="preserve"> region, all variables were measured annually</w:t>
      </w:r>
      <w:r w:rsidR="00B23B7F">
        <w:rPr>
          <w:lang w:val="en-US"/>
        </w:rPr>
        <w:t xml:space="preserve"> through the last decade</w:t>
      </w:r>
      <w:r>
        <w:rPr>
          <w:lang w:val="en-US"/>
        </w:rPr>
        <w:t>.</w:t>
      </w:r>
      <w:r w:rsidR="00CF7F1A">
        <w:rPr>
          <w:lang w:val="en-US"/>
        </w:rPr>
        <w:t xml:space="preserve"> This induces a temporal and multiblock structure of the data. </w:t>
      </w:r>
      <w:r>
        <w:rPr>
          <w:lang w:val="en-US"/>
        </w:rPr>
        <w:t xml:space="preserve">  </w:t>
      </w:r>
      <w:r w:rsidR="00CF7F1A" w:rsidRPr="00CF7F1A">
        <w:rPr>
          <w:highlight w:val="yellow"/>
          <w:lang w:val="en-US"/>
        </w:rPr>
        <w:t>(</w:t>
      </w:r>
      <w:r w:rsidR="00791CDB">
        <w:rPr>
          <w:highlight w:val="yellow"/>
          <w:lang w:val="en-US"/>
        </w:rPr>
        <w:t>100</w:t>
      </w:r>
      <w:r w:rsidR="00CF7F1A" w:rsidRPr="00CF7F1A">
        <w:rPr>
          <w:highlight w:val="yellow"/>
          <w:lang w:val="en-US"/>
        </w:rPr>
        <w:t xml:space="preserve"> mots)</w:t>
      </w:r>
    </w:p>
    <w:p w14:paraId="2AD8A9F0" w14:textId="6C01BB1E" w:rsidR="00CF7F1A" w:rsidRDefault="00CF7F1A" w:rsidP="003C10EA">
      <w:pPr>
        <w:rPr>
          <w:lang w:val="en-US"/>
        </w:rPr>
      </w:pPr>
      <w:r>
        <w:rPr>
          <w:lang w:val="en-US"/>
        </w:rPr>
        <w:t xml:space="preserve">To analyze these data, we proposed </w:t>
      </w:r>
      <w:r w:rsidR="005C61C4">
        <w:rPr>
          <w:lang w:val="en-US"/>
        </w:rPr>
        <w:t xml:space="preserve">functional </w:t>
      </w:r>
      <w:r w:rsidR="006D4477">
        <w:rPr>
          <w:lang w:val="en-US"/>
        </w:rPr>
        <w:t xml:space="preserve">and multiblock </w:t>
      </w:r>
      <w:r>
        <w:rPr>
          <w:lang w:val="en-US"/>
        </w:rPr>
        <w:t xml:space="preserve">strategies. </w:t>
      </w:r>
      <w:r w:rsidR="00791CDB" w:rsidRPr="00791CDB">
        <w:rPr>
          <w:lang w:val="en-US"/>
        </w:rPr>
        <w:t>For each longitudinal variable, we performed a Functional Principal Component Analysis (FPCA)</w:t>
      </w:r>
      <w:r w:rsidR="0049498C">
        <w:rPr>
          <w:lang w:val="en-US"/>
        </w:rPr>
        <w:t xml:space="preserve"> </w:t>
      </w:r>
      <w:r w:rsidR="0049498C" w:rsidRPr="0049498C">
        <w:rPr>
          <w:lang w:val="en-US"/>
        </w:rPr>
        <w:t>(</w:t>
      </w:r>
      <w:r w:rsidR="0049498C" w:rsidRPr="0049498C">
        <w:rPr>
          <w:i/>
          <w:iCs/>
          <w:lang w:val="en-US"/>
        </w:rPr>
        <w:t>Functional data analysis</w:t>
      </w:r>
      <w:r w:rsidR="0049498C" w:rsidRPr="0049498C">
        <w:rPr>
          <w:lang w:val="en-US"/>
        </w:rPr>
        <w:t>, Ramsey and Silverman, 2005)</w:t>
      </w:r>
      <w:r w:rsidR="00791CDB" w:rsidRPr="00791CDB">
        <w:rPr>
          <w:lang w:val="en-US"/>
        </w:rPr>
        <w:t xml:space="preserve"> and retained the first principal component score to summarize its </w:t>
      </w:r>
      <w:r w:rsidR="0049498C">
        <w:rPr>
          <w:lang w:val="en-US"/>
        </w:rPr>
        <w:t xml:space="preserve">main </w:t>
      </w:r>
      <w:r w:rsidR="00791CDB" w:rsidRPr="00791CDB">
        <w:rPr>
          <w:lang w:val="en-US"/>
        </w:rPr>
        <w:t xml:space="preserve">temporal </w:t>
      </w:r>
      <w:r w:rsidR="0049498C">
        <w:rPr>
          <w:lang w:val="en-US"/>
        </w:rPr>
        <w:t xml:space="preserve">mode of variation </w:t>
      </w:r>
      <w:r w:rsidR="00791CDB" w:rsidRPr="00791CDB">
        <w:rPr>
          <w:lang w:val="en-US"/>
        </w:rPr>
        <w:t>over the decade</w:t>
      </w:r>
      <w:r>
        <w:rPr>
          <w:lang w:val="en-US"/>
        </w:rPr>
        <w:t xml:space="preserve">. </w:t>
      </w:r>
      <w:r w:rsidR="005C61C4">
        <w:rPr>
          <w:lang w:val="en-US"/>
        </w:rPr>
        <w:t>Then, we obtained a dataset with a unique row by region</w:t>
      </w:r>
      <w:r w:rsidR="0049498C">
        <w:rPr>
          <w:lang w:val="en-US"/>
        </w:rPr>
        <w:t xml:space="preserve">, allowing the use of methods </w:t>
      </w:r>
      <w:r w:rsidR="005C61C4">
        <w:rPr>
          <w:lang w:val="en-US"/>
        </w:rPr>
        <w:t>which rely independence of observations</w:t>
      </w:r>
      <w:r w:rsidR="0049498C">
        <w:rPr>
          <w:lang w:val="en-US"/>
        </w:rPr>
        <w:t xml:space="preserve"> assumption</w:t>
      </w:r>
      <w:r w:rsidR="005C61C4">
        <w:rPr>
          <w:lang w:val="en-US"/>
        </w:rPr>
        <w:t xml:space="preserve">. </w:t>
      </w:r>
      <w:r w:rsidR="00BA7CD2">
        <w:rPr>
          <w:lang w:val="en-US"/>
        </w:rPr>
        <w:t xml:space="preserve">Then, </w:t>
      </w:r>
      <w:r w:rsidR="0049498C">
        <w:rPr>
          <w:lang w:val="en-US"/>
        </w:rPr>
        <w:t xml:space="preserve">within each block, </w:t>
      </w:r>
      <w:r w:rsidR="00BA7CD2">
        <w:rPr>
          <w:lang w:val="en-US"/>
        </w:rPr>
        <w:t>we applied directional clustering of variables (</w:t>
      </w:r>
      <w:r w:rsidR="00BA7CD2" w:rsidRPr="00BA7CD2">
        <w:rPr>
          <w:i/>
          <w:iCs/>
          <w:lang w:val="en-US"/>
        </w:rPr>
        <w:t>Clustering of Variables Around</w:t>
      </w:r>
      <w:r w:rsidR="00BA7CD2" w:rsidRPr="00BA7CD2">
        <w:rPr>
          <w:i/>
          <w:iCs/>
          <w:lang w:val="en-US"/>
        </w:rPr>
        <w:t xml:space="preserve"> </w:t>
      </w:r>
      <w:r w:rsidR="00BA7CD2" w:rsidRPr="00BA7CD2">
        <w:rPr>
          <w:i/>
          <w:iCs/>
          <w:lang w:val="en-US"/>
        </w:rPr>
        <w:t>Latent Components</w:t>
      </w:r>
      <w:r w:rsidR="00BA7CD2">
        <w:rPr>
          <w:i/>
          <w:iCs/>
          <w:lang w:val="en-US"/>
        </w:rPr>
        <w:t xml:space="preserve">, </w:t>
      </w:r>
      <w:proofErr w:type="spellStart"/>
      <w:r w:rsidR="00BA7CD2">
        <w:rPr>
          <w:lang w:val="en-US"/>
        </w:rPr>
        <w:t>Vigneau</w:t>
      </w:r>
      <w:proofErr w:type="spellEnd"/>
      <w:r w:rsidR="00BA7CD2">
        <w:rPr>
          <w:lang w:val="en-US"/>
        </w:rPr>
        <w:t xml:space="preserve"> and </w:t>
      </w:r>
      <w:proofErr w:type="spellStart"/>
      <w:r w:rsidR="00BA7CD2">
        <w:rPr>
          <w:lang w:val="en-US"/>
        </w:rPr>
        <w:t>Qannari</w:t>
      </w:r>
      <w:proofErr w:type="spellEnd"/>
      <w:r w:rsidR="00BA7CD2">
        <w:rPr>
          <w:lang w:val="en-US"/>
        </w:rPr>
        <w:t xml:space="preserve">, 2003) </w:t>
      </w:r>
      <w:r w:rsidR="0049498C">
        <w:rPr>
          <w:lang w:val="en-US"/>
        </w:rPr>
        <w:t>on the first principal component score of each variable. With this approach, we were able to group redundant variables</w:t>
      </w:r>
      <w:r w:rsidR="00086F31">
        <w:rPr>
          <w:lang w:val="en-US"/>
        </w:rPr>
        <w:t xml:space="preserve"> together</w:t>
      </w:r>
      <w:r w:rsidR="0049498C">
        <w:rPr>
          <w:lang w:val="en-US"/>
        </w:rPr>
        <w:t xml:space="preserve">, and then to select </w:t>
      </w:r>
      <w:r w:rsidR="00086F31">
        <w:rPr>
          <w:lang w:val="en-US"/>
        </w:rPr>
        <w:t>the ones who interested us the most in each cluster</w:t>
      </w:r>
      <w:r w:rsidR="00BA7CD2">
        <w:rPr>
          <w:lang w:val="en-US"/>
        </w:rPr>
        <w:t xml:space="preserve">. </w:t>
      </w:r>
      <w:r w:rsidR="00086F31" w:rsidRPr="00086F31">
        <w:rPr>
          <w:lang w:val="en-US"/>
        </w:rPr>
        <w:t xml:space="preserve">Finally, </w:t>
      </w:r>
      <w:r w:rsidR="00086F31">
        <w:rPr>
          <w:lang w:val="en-US"/>
        </w:rPr>
        <w:t xml:space="preserve">GSCA </w:t>
      </w:r>
      <w:r w:rsidR="00086F31" w:rsidRPr="00086F31">
        <w:rPr>
          <w:lang w:val="en-US"/>
        </w:rPr>
        <w:t>(</w:t>
      </w:r>
      <w:r w:rsidR="00086F31" w:rsidRPr="00086F31">
        <w:rPr>
          <w:i/>
          <w:iCs/>
          <w:lang w:val="en-US"/>
        </w:rPr>
        <w:t>Generalized Structured Component Analysis</w:t>
      </w:r>
      <w:r w:rsidR="00086F31">
        <w:rPr>
          <w:lang w:val="en-US"/>
        </w:rPr>
        <w:t>,</w:t>
      </w:r>
      <w:r w:rsidR="00086F31" w:rsidRPr="00086F31">
        <w:rPr>
          <w:lang w:val="en-US"/>
        </w:rPr>
        <w:t xml:space="preserve"> Huang, 2004) was applied</w:t>
      </w:r>
      <w:r w:rsidR="003C3C4A">
        <w:rPr>
          <w:lang w:val="en-US"/>
        </w:rPr>
        <w:t xml:space="preserve"> separately for modeling each AMR outcome,</w:t>
      </w:r>
      <w:r w:rsidR="00086F31" w:rsidRPr="00086F31">
        <w:rPr>
          <w:lang w:val="en-US"/>
        </w:rPr>
        <w:t xml:space="preserve"> to investigate the relationships between thematic blocks and</w:t>
      </w:r>
      <w:r w:rsidR="003C3C4A">
        <w:rPr>
          <w:lang w:val="en-US"/>
        </w:rPr>
        <w:t xml:space="preserve"> the AMR indicator </w:t>
      </w:r>
      <w:r w:rsidR="003C3C4A" w:rsidRPr="003C3C4A">
        <w:rPr>
          <w:lang w:val="en-US"/>
        </w:rPr>
        <w:t xml:space="preserve">(by antibiotic family and </w:t>
      </w:r>
      <w:r w:rsidR="003C3C4A" w:rsidRPr="003C3C4A">
        <w:rPr>
          <w:lang w:val="en-US"/>
        </w:rPr>
        <w:t>h</w:t>
      </w:r>
      <w:r w:rsidR="003C3C4A">
        <w:rPr>
          <w:lang w:val="en-US"/>
        </w:rPr>
        <w:t xml:space="preserve">ealthcare </w:t>
      </w:r>
      <w:r w:rsidR="003C3C4A" w:rsidRPr="003C3C4A">
        <w:rPr>
          <w:lang w:val="en-US"/>
        </w:rPr>
        <w:t>setting)</w:t>
      </w:r>
      <w:r w:rsidR="00086F31">
        <w:rPr>
          <w:lang w:val="en-US"/>
        </w:rPr>
        <w:t xml:space="preserve">. </w:t>
      </w:r>
      <w:r w:rsidR="00BA7CD2" w:rsidRPr="00BA7CD2">
        <w:rPr>
          <w:highlight w:val="yellow"/>
          <w:lang w:val="en-US"/>
        </w:rPr>
        <w:t>(1</w:t>
      </w:r>
      <w:r w:rsidR="003C3C4A">
        <w:rPr>
          <w:highlight w:val="yellow"/>
          <w:lang w:val="en-US"/>
        </w:rPr>
        <w:t>56</w:t>
      </w:r>
      <w:r w:rsidR="00BA7CD2" w:rsidRPr="00BA7CD2">
        <w:rPr>
          <w:highlight w:val="yellow"/>
          <w:lang w:val="en-US"/>
        </w:rPr>
        <w:t xml:space="preserve"> mots)</w:t>
      </w:r>
    </w:p>
    <w:p w14:paraId="46B82BE8" w14:textId="200D2B83" w:rsidR="006D4477" w:rsidRPr="00BA7CD2" w:rsidRDefault="006D4477" w:rsidP="003C10EA">
      <w:pPr>
        <w:rPr>
          <w:lang w:val="en-US"/>
        </w:rPr>
      </w:pPr>
      <w:r>
        <w:rPr>
          <w:lang w:val="en-US"/>
        </w:rPr>
        <w:t>In future perspective, we think about applying three-way GSCA (</w:t>
      </w:r>
      <w:r w:rsidRPr="006D4477">
        <w:rPr>
          <w:i/>
          <w:iCs/>
          <w:lang w:val="en-US"/>
        </w:rPr>
        <w:t>Three-way Generalized Structured Component Analysis</w:t>
      </w:r>
      <w:r w:rsidRPr="006D4477">
        <w:rPr>
          <w:lang w:val="en-US"/>
        </w:rPr>
        <w:t>,</w:t>
      </w:r>
      <w:r>
        <w:rPr>
          <w:lang w:val="en-US"/>
        </w:rPr>
        <w:t xml:space="preserve"> Choi, 2018) on more than one functional principal component score</w:t>
      </w:r>
      <w:r w:rsidR="00086F31">
        <w:rPr>
          <w:lang w:val="en-US"/>
        </w:rPr>
        <w:t xml:space="preserve"> by variables</w:t>
      </w:r>
      <w:r>
        <w:rPr>
          <w:lang w:val="en-US"/>
        </w:rPr>
        <w:t xml:space="preserve"> and also apply functional multiblock models. </w:t>
      </w:r>
      <w:r w:rsidRPr="006D4477">
        <w:rPr>
          <w:highlight w:val="yellow"/>
          <w:lang w:val="en-US"/>
        </w:rPr>
        <w:t>(3</w:t>
      </w:r>
      <w:r w:rsidR="003C3C4A">
        <w:rPr>
          <w:highlight w:val="yellow"/>
          <w:lang w:val="en-US"/>
        </w:rPr>
        <w:t>4</w:t>
      </w:r>
      <w:r w:rsidRPr="006D4477">
        <w:rPr>
          <w:highlight w:val="yellow"/>
          <w:lang w:val="en-US"/>
        </w:rPr>
        <w:t xml:space="preserve"> mots)</w:t>
      </w:r>
    </w:p>
    <w:sectPr w:rsidR="006D4477" w:rsidRPr="00BA7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A"/>
    <w:rsid w:val="00086F31"/>
    <w:rsid w:val="00336E7C"/>
    <w:rsid w:val="003B4BF1"/>
    <w:rsid w:val="003C10EA"/>
    <w:rsid w:val="003C3C4A"/>
    <w:rsid w:val="0049498C"/>
    <w:rsid w:val="00560DA5"/>
    <w:rsid w:val="005C61C4"/>
    <w:rsid w:val="006D4477"/>
    <w:rsid w:val="00712F33"/>
    <w:rsid w:val="00737B72"/>
    <w:rsid w:val="00791CDB"/>
    <w:rsid w:val="009114CB"/>
    <w:rsid w:val="00B23B7F"/>
    <w:rsid w:val="00BA7CD2"/>
    <w:rsid w:val="00CF7F1A"/>
    <w:rsid w:val="00D820E8"/>
    <w:rsid w:val="00F7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99E35"/>
  <w15:chartTrackingRefBased/>
  <w15:docId w15:val="{7E93B3E2-DC52-4C26-B8E1-60049DC1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B23B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MARTET Gaspard</cp:lastModifiedBy>
  <cp:revision>2</cp:revision>
  <dcterms:created xsi:type="dcterms:W3CDTF">2026-05-11T11:40:00Z</dcterms:created>
  <dcterms:modified xsi:type="dcterms:W3CDTF">2026-05-11T15:07:00Z</dcterms:modified>
</cp:coreProperties>
</file>