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62A37" w14:textId="1CDDC770" w:rsidR="008748CB" w:rsidRPr="00F83121" w:rsidRDefault="008748CB" w:rsidP="008748CB">
      <w:pPr>
        <w:jc w:val="center"/>
        <w:rPr>
          <w:u w:val="single"/>
          <w:lang w:val="en-US"/>
        </w:rPr>
      </w:pPr>
      <w:r w:rsidRPr="00F83121">
        <w:rPr>
          <w:u w:val="single"/>
          <w:lang w:val="en-US"/>
        </w:rPr>
        <w:t xml:space="preserve">Mixing functional and multiblock approaches to explore </w:t>
      </w:r>
      <w:r w:rsidR="0081592A">
        <w:rPr>
          <w:u w:val="single"/>
          <w:lang w:val="en-US"/>
        </w:rPr>
        <w:t>O</w:t>
      </w:r>
      <w:r w:rsidRPr="00F83121">
        <w:rPr>
          <w:u w:val="single"/>
          <w:lang w:val="en-US"/>
        </w:rPr>
        <w:t xml:space="preserve">ne </w:t>
      </w:r>
      <w:r w:rsidR="0081592A">
        <w:rPr>
          <w:u w:val="single"/>
          <w:lang w:val="en-US"/>
        </w:rPr>
        <w:t>H</w:t>
      </w:r>
      <w:r w:rsidRPr="00F83121">
        <w:rPr>
          <w:u w:val="single"/>
          <w:lang w:val="en-US"/>
        </w:rPr>
        <w:t>ealth antimicrobial resistance in France</w:t>
      </w:r>
    </w:p>
    <w:p w14:paraId="5BFE7FBB" w14:textId="77777777" w:rsidR="008748CB" w:rsidRPr="00F83121" w:rsidRDefault="008748CB" w:rsidP="008748CB">
      <w:pPr>
        <w:jc w:val="center"/>
        <w:rPr>
          <w:u w:val="single"/>
        </w:rPr>
      </w:pPr>
      <w:r w:rsidRPr="00F83121">
        <w:rPr>
          <w:u w:val="single"/>
        </w:rPr>
        <w:t>Gaspard Martet</w:t>
      </w:r>
      <w:r w:rsidRPr="00F83121">
        <w:rPr>
          <w:u w:val="single"/>
          <w:vertAlign w:val="superscript"/>
        </w:rPr>
        <w:t>1</w:t>
      </w:r>
      <w:r w:rsidRPr="00F83121">
        <w:rPr>
          <w:u w:val="single"/>
        </w:rPr>
        <w:t>, Stéphanie Bougeard</w:t>
      </w:r>
      <w:r w:rsidRPr="00F83121">
        <w:rPr>
          <w:u w:val="single"/>
          <w:vertAlign w:val="superscript"/>
        </w:rPr>
        <w:t>1</w:t>
      </w:r>
      <w:r w:rsidRPr="00F83121">
        <w:rPr>
          <w:u w:val="single"/>
        </w:rPr>
        <w:t>, Claire Chauvin</w:t>
      </w:r>
      <w:r w:rsidRPr="00F83121">
        <w:rPr>
          <w:u w:val="single"/>
          <w:vertAlign w:val="superscript"/>
        </w:rPr>
        <w:t>1</w:t>
      </w:r>
    </w:p>
    <w:p w14:paraId="4D771D99" w14:textId="77777777" w:rsidR="008748CB" w:rsidRDefault="008748CB" w:rsidP="008748CB">
      <w:pPr>
        <w:jc w:val="center"/>
      </w:pPr>
      <w:r w:rsidRPr="00F83121">
        <w:rPr>
          <w:vertAlign w:val="superscript"/>
        </w:rPr>
        <w:t>1</w:t>
      </w:r>
      <w:r>
        <w:t xml:space="preserve"> Anses, Unité Epidémiologie, Santé et Bien-être (</w:t>
      </w:r>
      <w:proofErr w:type="spellStart"/>
      <w:r>
        <w:t>EpiSaBE</w:t>
      </w:r>
      <w:proofErr w:type="spellEnd"/>
      <w:r>
        <w:t>), Laboratoire de Ploufragan-Plouzané-Niort, France</w:t>
      </w:r>
    </w:p>
    <w:p w14:paraId="6DB7494D" w14:textId="61F5B4C8" w:rsidR="008748CB" w:rsidRPr="00F83121" w:rsidRDefault="008748CB" w:rsidP="008748CB">
      <w:pPr>
        <w:rPr>
          <w:lang w:val="en-US"/>
        </w:rPr>
      </w:pPr>
      <w:r w:rsidRPr="00F83121">
        <w:rPr>
          <w:b/>
          <w:bCs/>
          <w:lang w:val="en-US"/>
        </w:rPr>
        <w:t>Context.</w:t>
      </w:r>
      <w:r w:rsidRPr="00F83121">
        <w:rPr>
          <w:lang w:val="en-US"/>
        </w:rPr>
        <w:t xml:space="preserve"> Antimicrobial resistance (AMR) is a public health issue, with the forecast of 10 million deaths per year globally by 2050. In a One Health perspective, the “Promise” monitoring meta-network about AMR was launched in 2021. In this context, data on </w:t>
      </w:r>
      <w:r w:rsidRPr="000E0971">
        <w:rPr>
          <w:i/>
          <w:iCs/>
          <w:lang w:val="en-US"/>
        </w:rPr>
        <w:t>E. coli</w:t>
      </w:r>
      <w:r w:rsidRPr="00F83121">
        <w:rPr>
          <w:lang w:val="en-US"/>
        </w:rPr>
        <w:t xml:space="preserve"> AMR and antibiotic consumption (AMC) were </w:t>
      </w:r>
      <w:r w:rsidR="00DE4679">
        <w:rPr>
          <w:lang w:val="en-US"/>
        </w:rPr>
        <w:t>recovered</w:t>
      </w:r>
      <w:r w:rsidRPr="00F83121">
        <w:rPr>
          <w:lang w:val="en-US"/>
        </w:rPr>
        <w:t xml:space="preserve"> in EHPADs, hospitals, and the </w:t>
      </w:r>
      <w:r>
        <w:rPr>
          <w:lang w:val="en-US"/>
        </w:rPr>
        <w:t xml:space="preserve">primary care settings </w:t>
      </w:r>
      <w:r w:rsidRPr="00F83121">
        <w:rPr>
          <w:lang w:val="en-US"/>
        </w:rPr>
        <w:t xml:space="preserve">and for several antibiotic families (fluoroquinolones, third-generation cephalosporins, etc.). </w:t>
      </w:r>
      <w:r w:rsidR="00313EE8" w:rsidRPr="00F83121">
        <w:rPr>
          <w:lang w:val="en-US"/>
        </w:rPr>
        <w:t>Additional</w:t>
      </w:r>
      <w:r w:rsidR="00313EE8">
        <w:rPr>
          <w:lang w:val="en-US"/>
        </w:rPr>
        <w:t>ly,</w:t>
      </w:r>
      <w:r w:rsidRPr="00F83121">
        <w:rPr>
          <w:lang w:val="en-US"/>
        </w:rPr>
        <w:t xml:space="preserve"> variables grouped into </w:t>
      </w:r>
      <w:r>
        <w:rPr>
          <w:lang w:val="en-US"/>
        </w:rPr>
        <w:t xml:space="preserve">One Health </w:t>
      </w:r>
      <w:r w:rsidRPr="00F83121">
        <w:rPr>
          <w:lang w:val="en-US"/>
        </w:rPr>
        <w:t>thematic blocks (</w:t>
      </w:r>
      <w:r>
        <w:rPr>
          <w:lang w:val="en-US"/>
        </w:rPr>
        <w:t>animals</w:t>
      </w:r>
      <w:r w:rsidRPr="00F83121">
        <w:rPr>
          <w:lang w:val="en-US"/>
        </w:rPr>
        <w:t xml:space="preserve">, environment, </w:t>
      </w:r>
      <w:r>
        <w:rPr>
          <w:lang w:val="en-US"/>
        </w:rPr>
        <w:t>humans</w:t>
      </w:r>
      <w:r w:rsidRPr="00F83121">
        <w:rPr>
          <w:lang w:val="en-US"/>
        </w:rPr>
        <w:t xml:space="preserve">) were collected. For each mainland French region, all these variables were measured annually through the last decade. This induces a temporal and multiblock structure of the data. </w:t>
      </w:r>
    </w:p>
    <w:p w14:paraId="4B0B92E0" w14:textId="6B17B6AF" w:rsidR="00BA7362" w:rsidRDefault="008748CB" w:rsidP="008748CB">
      <w:pPr>
        <w:rPr>
          <w:lang w:val="en-US"/>
        </w:rPr>
      </w:pPr>
      <w:r w:rsidRPr="00F83121">
        <w:rPr>
          <w:b/>
          <w:bCs/>
          <w:lang w:val="en-US"/>
        </w:rPr>
        <w:t>Data and aim.</w:t>
      </w:r>
      <w:r w:rsidRPr="00F83121">
        <w:rPr>
          <w:lang w:val="en-US"/>
        </w:rPr>
        <w:t xml:space="preserve"> </w:t>
      </w:r>
      <w:r w:rsidR="007D1BCE" w:rsidRPr="007D1BCE">
        <w:rPr>
          <w:lang w:val="en-US"/>
        </w:rPr>
        <w:t xml:space="preserve">Our project aims to identify the main factors explaining regional </w:t>
      </w:r>
      <w:r w:rsidR="007D1BCE" w:rsidRPr="007D1BCE">
        <w:rPr>
          <w:i/>
          <w:iCs/>
          <w:lang w:val="en-US"/>
        </w:rPr>
        <w:t>E. coli</w:t>
      </w:r>
      <w:r w:rsidR="007D1BCE" w:rsidRPr="007D1BCE">
        <w:rPr>
          <w:lang w:val="en-US"/>
        </w:rPr>
        <w:t xml:space="preserve"> AMR</w:t>
      </w:r>
      <w:r w:rsidR="007D1BCE">
        <w:rPr>
          <w:lang w:val="en-US"/>
        </w:rPr>
        <w:t xml:space="preserve"> (N = 12 regions)</w:t>
      </w:r>
      <w:r w:rsidR="007D1BCE" w:rsidRPr="007D1BCE">
        <w:rPr>
          <w:lang w:val="en-US"/>
        </w:rPr>
        <w:t xml:space="preserve"> for six outcomes defined by antibiotic family and healthcare setting</w:t>
      </w:r>
      <w:r>
        <w:rPr>
          <w:lang w:val="en-US"/>
        </w:rPr>
        <w:t>,</w:t>
      </w:r>
      <w:r w:rsidRPr="00F83121">
        <w:rPr>
          <w:lang w:val="en-US"/>
        </w:rPr>
        <w:t xml:space="preserve"> by taking into account the complex structure of </w:t>
      </w:r>
      <w:r>
        <w:rPr>
          <w:lang w:val="en-US"/>
        </w:rPr>
        <w:t>explanatory</w:t>
      </w:r>
      <w:r w:rsidRPr="00F83121">
        <w:rPr>
          <w:lang w:val="en-US"/>
        </w:rPr>
        <w:t xml:space="preserve"> data</w:t>
      </w:r>
      <w:r>
        <w:rPr>
          <w:lang w:val="en-US"/>
        </w:rPr>
        <w:t xml:space="preserve"> from AMC (</w:t>
      </w:r>
      <w:r w:rsidRPr="008748CB">
        <w:rPr>
          <w:b/>
          <w:bCs/>
          <w:lang w:val="en-US"/>
        </w:rPr>
        <w:t>X</w:t>
      </w:r>
      <w:r w:rsidRPr="004C741C">
        <w:rPr>
          <w:b/>
          <w:bCs/>
          <w:vertAlign w:val="subscript"/>
          <w:lang w:val="en-US"/>
        </w:rPr>
        <w:t>1</w:t>
      </w:r>
      <w:r>
        <w:rPr>
          <w:lang w:val="en-US"/>
        </w:rPr>
        <w:t>), animals (</w:t>
      </w:r>
      <w:r w:rsidRPr="008748CB">
        <w:rPr>
          <w:b/>
          <w:bCs/>
          <w:lang w:val="en-US"/>
        </w:rPr>
        <w:t>X</w:t>
      </w:r>
      <w:r w:rsidRPr="004C741C">
        <w:rPr>
          <w:b/>
          <w:bCs/>
          <w:vertAlign w:val="subscript"/>
          <w:lang w:val="en-US"/>
        </w:rPr>
        <w:t>2</w:t>
      </w:r>
      <w:r>
        <w:rPr>
          <w:lang w:val="en-US"/>
        </w:rPr>
        <w:t>)</w:t>
      </w:r>
      <w:r w:rsidRPr="00F83121">
        <w:rPr>
          <w:lang w:val="en-US"/>
        </w:rPr>
        <w:t>, environment</w:t>
      </w:r>
      <w:r>
        <w:rPr>
          <w:lang w:val="en-US"/>
        </w:rPr>
        <w:t xml:space="preserve"> (</w:t>
      </w:r>
      <w:r w:rsidRPr="008748CB">
        <w:rPr>
          <w:b/>
          <w:bCs/>
          <w:lang w:val="en-US"/>
        </w:rPr>
        <w:t>X</w:t>
      </w:r>
      <w:r w:rsidRPr="004C741C">
        <w:rPr>
          <w:b/>
          <w:bCs/>
          <w:vertAlign w:val="subscript"/>
          <w:lang w:val="en-US"/>
        </w:rPr>
        <w:t>3</w:t>
      </w:r>
      <w:r>
        <w:rPr>
          <w:lang w:val="en-US"/>
        </w:rPr>
        <w:t>)</w:t>
      </w:r>
      <w:r w:rsidR="00630548">
        <w:rPr>
          <w:lang w:val="en-US"/>
        </w:rPr>
        <w:t xml:space="preserve"> and</w:t>
      </w:r>
      <w:r w:rsidRPr="00F83121">
        <w:rPr>
          <w:lang w:val="en-US"/>
        </w:rPr>
        <w:t xml:space="preserve"> </w:t>
      </w:r>
      <w:r>
        <w:rPr>
          <w:lang w:val="en-US"/>
        </w:rPr>
        <w:t>humans (</w:t>
      </w:r>
      <w:r w:rsidRPr="008748CB">
        <w:rPr>
          <w:b/>
          <w:bCs/>
          <w:lang w:val="en-US"/>
        </w:rPr>
        <w:t>X</w:t>
      </w:r>
      <w:r w:rsidRPr="004C741C">
        <w:rPr>
          <w:b/>
          <w:bCs/>
          <w:vertAlign w:val="subscript"/>
          <w:lang w:val="en-US"/>
        </w:rPr>
        <w:t>4</w:t>
      </w:r>
      <w:r>
        <w:rPr>
          <w:lang w:val="en-US"/>
        </w:rPr>
        <w:t>)</w:t>
      </w:r>
      <w:r w:rsidRPr="00F83121">
        <w:rPr>
          <w:lang w:val="en-US"/>
        </w:rPr>
        <w:t>.</w:t>
      </w:r>
      <w:r>
        <w:rPr>
          <w:lang w:val="en-US"/>
        </w:rPr>
        <w:t xml:space="preserve"> This presentation will focus on fluoroquinolone AMR in primary care settings</w:t>
      </w:r>
      <w:r w:rsidR="00BA7362">
        <w:rPr>
          <w:lang w:val="en-US"/>
        </w:rPr>
        <w:t>, which is our outcome (</w:t>
      </w:r>
      <w:r w:rsidR="00BA7362" w:rsidRPr="00BA7362">
        <w:rPr>
          <w:b/>
          <w:bCs/>
          <w:lang w:val="en-US"/>
        </w:rPr>
        <w:t>y</w:t>
      </w:r>
      <w:r w:rsidR="00BA7362">
        <w:rPr>
          <w:lang w:val="en-US"/>
        </w:rPr>
        <w:t>)</w:t>
      </w:r>
      <w:r>
        <w:rPr>
          <w:lang w:val="en-US"/>
        </w:rPr>
        <w:t>.</w:t>
      </w:r>
      <w:r w:rsidRPr="00F83121">
        <w:rPr>
          <w:lang w:val="en-US"/>
        </w:rPr>
        <w:t xml:space="preserve"> </w:t>
      </w:r>
      <w:r>
        <w:rPr>
          <w:lang w:val="en-US"/>
        </w:rPr>
        <w:t xml:space="preserve">Our P = 58 </w:t>
      </w:r>
      <w:r w:rsidRPr="00F83121">
        <w:rPr>
          <w:lang w:val="en-US"/>
        </w:rPr>
        <w:t>explanatory variables are organized into K</w:t>
      </w:r>
      <w:r>
        <w:rPr>
          <w:lang w:val="en-US"/>
        </w:rPr>
        <w:t xml:space="preserve"> </w:t>
      </w:r>
      <w:r w:rsidRPr="00F83121">
        <w:rPr>
          <w:lang w:val="en-US"/>
        </w:rPr>
        <w:t>=</w:t>
      </w:r>
      <w:r>
        <w:rPr>
          <w:lang w:val="en-US"/>
        </w:rPr>
        <w:t xml:space="preserve"> 4</w:t>
      </w:r>
      <w:r w:rsidRPr="00F83121">
        <w:rPr>
          <w:lang w:val="en-US"/>
        </w:rPr>
        <w:t xml:space="preserve"> blocks with a number of variables </w:t>
      </w:r>
      <w:r>
        <w:rPr>
          <w:lang w:val="en-US"/>
        </w:rPr>
        <w:t xml:space="preserve">per block </w:t>
      </w:r>
      <w:r w:rsidR="00313EE8">
        <w:rPr>
          <w:lang w:val="en-US"/>
        </w:rPr>
        <w:t xml:space="preserve">respectively </w:t>
      </w:r>
      <w:r>
        <w:rPr>
          <w:lang w:val="en-US"/>
        </w:rPr>
        <w:t>equal to 21, 19, 7</w:t>
      </w:r>
      <w:r w:rsidR="00313EE8">
        <w:rPr>
          <w:lang w:val="en-US"/>
        </w:rPr>
        <w:t xml:space="preserve"> and</w:t>
      </w:r>
      <w:r>
        <w:rPr>
          <w:lang w:val="en-US"/>
        </w:rPr>
        <w:t xml:space="preserve"> 11</w:t>
      </w:r>
      <w:r w:rsidRPr="00F83121">
        <w:rPr>
          <w:lang w:val="en-US"/>
        </w:rPr>
        <w:t>.</w:t>
      </w:r>
      <w:r w:rsidR="00BA7362">
        <w:rPr>
          <w:lang w:val="en-US"/>
        </w:rPr>
        <w:t xml:space="preserve"> </w:t>
      </w:r>
      <w:r w:rsidR="00BA7362" w:rsidRPr="00BA7362">
        <w:rPr>
          <w:lang w:val="en-US"/>
        </w:rPr>
        <w:t xml:space="preserve">Both the outcome and explanatory variables are functional (T = 12 time points) and were </w:t>
      </w:r>
      <w:r w:rsidR="00BA7362">
        <w:rPr>
          <w:lang w:val="en-US"/>
        </w:rPr>
        <w:t xml:space="preserve">considered </w:t>
      </w:r>
      <w:r w:rsidR="00BA7362" w:rsidRPr="00BA7362">
        <w:rPr>
          <w:lang w:val="en-US"/>
        </w:rPr>
        <w:t>centered and scaled.</w:t>
      </w:r>
    </w:p>
    <w:p w14:paraId="514B4A51" w14:textId="387F15F3" w:rsidR="008748CB" w:rsidRPr="00F83121" w:rsidRDefault="008748CB" w:rsidP="008748CB">
      <w:pPr>
        <w:rPr>
          <w:lang w:val="en-US"/>
        </w:rPr>
      </w:pPr>
      <w:r w:rsidRPr="00F83121">
        <w:rPr>
          <w:b/>
          <w:bCs/>
          <w:lang w:val="en-US"/>
        </w:rPr>
        <w:t>Methods.</w:t>
      </w:r>
      <w:r w:rsidRPr="00F83121">
        <w:rPr>
          <w:lang w:val="en-US"/>
        </w:rPr>
        <w:t xml:space="preserve"> To answer this question and deal with functional and multiblock data, a three-step procedure is proposed. </w:t>
      </w:r>
      <w:r w:rsidR="0081592A">
        <w:rPr>
          <w:lang w:val="en-US"/>
        </w:rPr>
        <w:br/>
      </w:r>
      <w:r w:rsidRPr="00F83121">
        <w:rPr>
          <w:lang w:val="en-US"/>
        </w:rPr>
        <w:t>(</w:t>
      </w:r>
      <w:proofErr w:type="spellStart"/>
      <w:r w:rsidRPr="00F83121">
        <w:rPr>
          <w:lang w:val="en-US"/>
        </w:rPr>
        <w:t>i</w:t>
      </w:r>
      <w:proofErr w:type="spellEnd"/>
      <w:r w:rsidRPr="00F83121">
        <w:rPr>
          <w:lang w:val="en-US"/>
        </w:rPr>
        <w:t xml:space="preserve">) </w:t>
      </w:r>
      <w:r>
        <w:rPr>
          <w:lang w:val="en-US"/>
        </w:rPr>
        <w:t xml:space="preserve">To summarize the functional information, univariate </w:t>
      </w:r>
      <w:r w:rsidRPr="00F83121">
        <w:rPr>
          <w:lang w:val="en-US"/>
        </w:rPr>
        <w:t>Functional Principal Component Analysis (</w:t>
      </w:r>
      <w:proofErr w:type="spellStart"/>
      <w:r w:rsidRPr="00F83121">
        <w:rPr>
          <w:lang w:val="en-US"/>
        </w:rPr>
        <w:t>fPCA</w:t>
      </w:r>
      <w:proofErr w:type="spellEnd"/>
      <w:r w:rsidRPr="00F83121">
        <w:rPr>
          <w:lang w:val="en-US"/>
        </w:rPr>
        <w:t>)</w:t>
      </w:r>
      <w:r w:rsidR="001A4DD3">
        <w:rPr>
          <w:lang w:val="en-US"/>
        </w:rPr>
        <w:t xml:space="preserve"> </w:t>
      </w:r>
      <w:r w:rsidR="001A4DD3" w:rsidRPr="00F83121">
        <w:rPr>
          <w:lang w:val="en-US"/>
        </w:rPr>
        <w:t>[1]</w:t>
      </w:r>
      <w:r>
        <w:rPr>
          <w:lang w:val="en-US"/>
        </w:rPr>
        <w:t xml:space="preserve"> </w:t>
      </w:r>
      <w:r w:rsidR="00226976">
        <w:rPr>
          <w:lang w:val="en-US"/>
        </w:rPr>
        <w:t>is</w:t>
      </w:r>
      <w:r>
        <w:rPr>
          <w:lang w:val="en-US"/>
        </w:rPr>
        <w:t xml:space="preserve"> applied </w:t>
      </w:r>
      <w:r w:rsidR="00226976">
        <w:rPr>
          <w:lang w:val="en-US"/>
        </w:rPr>
        <w:t xml:space="preserve">separately </w:t>
      </w:r>
      <w:r>
        <w:rPr>
          <w:lang w:val="en-US"/>
        </w:rPr>
        <w:t>to each variable and t</w:t>
      </w:r>
      <w:r w:rsidRPr="00F83121">
        <w:rPr>
          <w:lang w:val="en-US"/>
        </w:rPr>
        <w:t xml:space="preserve">he first principal component score (fPC1) </w:t>
      </w:r>
      <w:r>
        <w:rPr>
          <w:lang w:val="en-US"/>
        </w:rPr>
        <w:t>is</w:t>
      </w:r>
      <w:r w:rsidRPr="00F83121">
        <w:rPr>
          <w:lang w:val="en-US"/>
        </w:rPr>
        <w:t xml:space="preserve"> retained. </w:t>
      </w:r>
      <w:r>
        <w:rPr>
          <w:lang w:val="en-US"/>
        </w:rPr>
        <w:t>In the following</w:t>
      </w:r>
      <w:r w:rsidRPr="00F83121">
        <w:rPr>
          <w:lang w:val="en-US"/>
        </w:rPr>
        <w:t>, each functional variable (</w:t>
      </w:r>
      <w:r>
        <w:rPr>
          <w:lang w:val="en-US"/>
        </w:rPr>
        <w:t xml:space="preserve">i.e., </w:t>
      </w:r>
      <w:r w:rsidRPr="00F83121">
        <w:rPr>
          <w:lang w:val="en-US"/>
        </w:rPr>
        <w:t xml:space="preserve">N×T matrix) is </w:t>
      </w:r>
      <w:r>
        <w:rPr>
          <w:lang w:val="en-US"/>
        </w:rPr>
        <w:t>replaced by</w:t>
      </w:r>
      <w:r w:rsidRPr="00F83121">
        <w:rPr>
          <w:lang w:val="en-US"/>
        </w:rPr>
        <w:t xml:space="preserve"> its fPC1 (N×1 vector). This outputted a dataset with one row per region</w:t>
      </w:r>
      <w:r>
        <w:rPr>
          <w:lang w:val="en-US"/>
        </w:rPr>
        <w:t xml:space="preserve"> </w:t>
      </w:r>
      <w:r w:rsidR="00313EE8" w:rsidRPr="00313EE8">
        <w:rPr>
          <w:lang w:val="en-US"/>
        </w:rPr>
        <w:t>allowing methods assuming independent observations</w:t>
      </w:r>
      <w:r w:rsidRPr="00F83121">
        <w:rPr>
          <w:lang w:val="en-US"/>
        </w:rPr>
        <w:t>.</w:t>
      </w:r>
      <w:r w:rsidDel="00061B23">
        <w:rPr>
          <w:lang w:val="en-US"/>
        </w:rPr>
        <w:t xml:space="preserve"> </w:t>
      </w:r>
      <w:r w:rsidR="0081592A">
        <w:rPr>
          <w:lang w:val="en-US"/>
        </w:rPr>
        <w:br/>
      </w:r>
      <w:r w:rsidRPr="00F83121">
        <w:rPr>
          <w:lang w:val="en-US"/>
        </w:rPr>
        <w:t xml:space="preserve">(ii) </w:t>
      </w:r>
      <w:r w:rsidR="0081592A">
        <w:rPr>
          <w:lang w:val="en-US"/>
        </w:rPr>
        <w:t>C</w:t>
      </w:r>
      <w:r w:rsidR="007D1BCE" w:rsidRPr="007D1BCE">
        <w:rPr>
          <w:lang w:val="en-US"/>
        </w:rPr>
        <w:t>lustering of variables around latent components</w:t>
      </w:r>
      <w:r w:rsidR="007D1BCE">
        <w:rPr>
          <w:lang w:val="en-US"/>
        </w:rPr>
        <w:t xml:space="preserve"> </w:t>
      </w:r>
      <w:r w:rsidR="007D1BCE" w:rsidRPr="007D1BCE">
        <w:rPr>
          <w:lang w:val="en-US"/>
        </w:rPr>
        <w:t xml:space="preserve">[2] is </w:t>
      </w:r>
      <w:r w:rsidR="00DE4679">
        <w:rPr>
          <w:lang w:val="en-US"/>
        </w:rPr>
        <w:t>conducted independently</w:t>
      </w:r>
      <w:r w:rsidR="007D1BCE" w:rsidRPr="007D1BCE">
        <w:rPr>
          <w:lang w:val="en-US"/>
        </w:rPr>
        <w:t xml:space="preserve"> </w:t>
      </w:r>
      <w:r w:rsidR="00DE4679">
        <w:rPr>
          <w:lang w:val="en-US"/>
        </w:rPr>
        <w:t>for</w:t>
      </w:r>
      <w:r w:rsidR="007D1BCE" w:rsidRPr="007D1BCE">
        <w:rPr>
          <w:lang w:val="en-US"/>
        </w:rPr>
        <w:t xml:space="preserve"> each explanatory block to reduce redundancy.</w:t>
      </w:r>
      <w:r w:rsidR="007D1BCE" w:rsidRPr="00F83121">
        <w:rPr>
          <w:lang w:val="en-US"/>
        </w:rPr>
        <w:t xml:space="preserve"> </w:t>
      </w:r>
      <w:r w:rsidR="0081592A">
        <w:rPr>
          <w:lang w:val="en-US"/>
        </w:rPr>
        <w:br/>
      </w:r>
      <w:r w:rsidRPr="00F83121">
        <w:rPr>
          <w:lang w:val="en-US"/>
        </w:rPr>
        <w:t xml:space="preserve">(iii) </w:t>
      </w:r>
      <w:r w:rsidR="0081592A">
        <w:rPr>
          <w:lang w:val="en-US"/>
        </w:rPr>
        <w:t>C</w:t>
      </w:r>
      <w:r>
        <w:rPr>
          <w:lang w:val="en-US"/>
        </w:rPr>
        <w:t xml:space="preserve">omplex links </w:t>
      </w:r>
      <w:r w:rsidRPr="00F83121">
        <w:rPr>
          <w:lang w:val="en-US"/>
        </w:rPr>
        <w:t xml:space="preserve">between blocks were explored </w:t>
      </w:r>
      <w:r w:rsidR="00DE4679">
        <w:rPr>
          <w:lang w:val="en-US"/>
        </w:rPr>
        <w:t>using</w:t>
      </w:r>
      <w:r w:rsidRPr="00F83121">
        <w:rPr>
          <w:lang w:val="en-US"/>
        </w:rPr>
        <w:t xml:space="preserve"> a Generalized Structured Component Analysis (GSCA) [3]. </w:t>
      </w:r>
      <w:r w:rsidR="004C741C">
        <w:rPr>
          <w:lang w:val="en-US"/>
        </w:rPr>
        <w:t xml:space="preserve">The </w:t>
      </w:r>
      <w:r w:rsidR="004C741C" w:rsidRPr="004C741C">
        <w:rPr>
          <w:lang w:val="en-US"/>
        </w:rPr>
        <w:t xml:space="preserve">GSCA </w:t>
      </w:r>
      <w:r w:rsidR="004C741C">
        <w:rPr>
          <w:lang w:val="en-US"/>
        </w:rPr>
        <w:t xml:space="preserve">method examines </w:t>
      </w:r>
      <w:r w:rsidR="004C741C" w:rsidRPr="004C741C">
        <w:rPr>
          <w:lang w:val="en-US"/>
        </w:rPr>
        <w:t xml:space="preserve">relationships between thematic blocks and the outcome, as well as dependencies </w:t>
      </w:r>
      <w:r w:rsidR="0081592A">
        <w:rPr>
          <w:lang w:val="en-US"/>
        </w:rPr>
        <w:t>between</w:t>
      </w:r>
      <w:r w:rsidR="004C741C" w:rsidRPr="004C741C">
        <w:rPr>
          <w:lang w:val="en-US"/>
        </w:rPr>
        <w:t xml:space="preserve"> blocks</w:t>
      </w:r>
      <w:r w:rsidR="006D4BF0" w:rsidRPr="006D4BF0">
        <w:rPr>
          <w:lang w:val="en-US"/>
        </w:rPr>
        <w:t>.</w:t>
      </w:r>
      <w:r w:rsidRPr="00F83121">
        <w:rPr>
          <w:lang w:val="en-US"/>
        </w:rPr>
        <w:t xml:space="preserve"> </w:t>
      </w:r>
      <w:r>
        <w:rPr>
          <w:lang w:val="en-US"/>
        </w:rPr>
        <w:t>More precisely, e</w:t>
      </w:r>
      <w:r w:rsidRPr="00F83121">
        <w:rPr>
          <w:lang w:val="en-US"/>
        </w:rPr>
        <w:t xml:space="preserve">ach block is </w:t>
      </w:r>
      <w:r>
        <w:rPr>
          <w:lang w:val="en-US"/>
        </w:rPr>
        <w:t>summarized</w:t>
      </w:r>
      <w:r w:rsidRPr="00F83121">
        <w:rPr>
          <w:lang w:val="en-US"/>
        </w:rPr>
        <w:t xml:space="preserve"> </w:t>
      </w:r>
      <w:r w:rsidR="004C741C">
        <w:rPr>
          <w:lang w:val="en-US"/>
        </w:rPr>
        <w:t>by</w:t>
      </w:r>
      <w:r w:rsidRPr="00F83121">
        <w:rPr>
          <w:lang w:val="en-US"/>
        </w:rPr>
        <w:t xml:space="preserve"> a latent variable</w:t>
      </w:r>
      <w:r w:rsidR="004C741C">
        <w:rPr>
          <w:lang w:val="en-US"/>
        </w:rPr>
        <w:t xml:space="preserve"> </w:t>
      </w:r>
      <w:r w:rsidR="004C741C" w:rsidRPr="00E8569E">
        <w:rPr>
          <w:b/>
          <w:bCs/>
          <w:lang w:val="en-US"/>
        </w:rPr>
        <w:t>t</w:t>
      </w:r>
      <w:r w:rsidR="004C741C" w:rsidRPr="00E8569E">
        <w:rPr>
          <w:b/>
          <w:bCs/>
          <w:vertAlign w:val="subscript"/>
          <w:lang w:val="en-US"/>
        </w:rPr>
        <w:t>y</w:t>
      </w:r>
      <w:r w:rsidR="004C741C">
        <w:rPr>
          <w:lang w:val="en-US"/>
        </w:rPr>
        <w:t xml:space="preserve">, </w:t>
      </w:r>
      <w:r w:rsidR="004C741C" w:rsidRPr="00E8569E">
        <w:rPr>
          <w:b/>
          <w:bCs/>
          <w:lang w:val="en-US"/>
        </w:rPr>
        <w:t>t</w:t>
      </w:r>
      <w:r w:rsidR="004C741C" w:rsidRPr="00E8569E">
        <w:rPr>
          <w:b/>
          <w:bCs/>
          <w:vertAlign w:val="subscript"/>
          <w:lang w:val="en-US"/>
        </w:rPr>
        <w:t>1</w:t>
      </w:r>
      <w:r w:rsidR="004C741C">
        <w:rPr>
          <w:lang w:val="en-US"/>
        </w:rPr>
        <w:t xml:space="preserve">, </w:t>
      </w:r>
      <w:r w:rsidR="004C741C" w:rsidRPr="00E8569E">
        <w:rPr>
          <w:b/>
          <w:bCs/>
          <w:lang w:val="en-US"/>
        </w:rPr>
        <w:t>t</w:t>
      </w:r>
      <w:r w:rsidR="004C741C" w:rsidRPr="00E8569E">
        <w:rPr>
          <w:b/>
          <w:bCs/>
          <w:vertAlign w:val="subscript"/>
          <w:lang w:val="en-US"/>
        </w:rPr>
        <w:t>2</w:t>
      </w:r>
      <w:r w:rsidR="004C741C">
        <w:rPr>
          <w:lang w:val="en-US"/>
        </w:rPr>
        <w:t xml:space="preserve">, </w:t>
      </w:r>
      <w:r w:rsidR="004C741C" w:rsidRPr="00E8569E">
        <w:rPr>
          <w:b/>
          <w:bCs/>
          <w:lang w:val="en-US"/>
        </w:rPr>
        <w:t>t</w:t>
      </w:r>
      <w:r w:rsidR="004C741C" w:rsidRPr="00E8569E">
        <w:rPr>
          <w:b/>
          <w:bCs/>
          <w:vertAlign w:val="subscript"/>
          <w:lang w:val="en-US"/>
        </w:rPr>
        <w:t>3</w:t>
      </w:r>
      <w:r w:rsidR="004C741C">
        <w:rPr>
          <w:lang w:val="en-US"/>
        </w:rPr>
        <w:t>,</w:t>
      </w:r>
      <w:r w:rsidR="00993657">
        <w:rPr>
          <w:lang w:val="en-US"/>
        </w:rPr>
        <w:t xml:space="preserve"> and</w:t>
      </w:r>
      <w:r w:rsidR="004C741C">
        <w:rPr>
          <w:lang w:val="en-US"/>
        </w:rPr>
        <w:t xml:space="preserve"> </w:t>
      </w:r>
      <w:r w:rsidR="004C741C" w:rsidRPr="00E8569E">
        <w:rPr>
          <w:b/>
          <w:bCs/>
          <w:lang w:val="en-US"/>
        </w:rPr>
        <w:t>t</w:t>
      </w:r>
      <w:r w:rsidR="004C741C" w:rsidRPr="00E8569E">
        <w:rPr>
          <w:b/>
          <w:bCs/>
          <w:vertAlign w:val="subscript"/>
          <w:lang w:val="en-US"/>
        </w:rPr>
        <w:t>4</w:t>
      </w:r>
      <w:r w:rsidR="00E526EF">
        <w:rPr>
          <w:lang w:val="en-US"/>
        </w:rPr>
        <w:t>.</w:t>
      </w:r>
      <w:r>
        <w:rPr>
          <w:lang w:val="en-US"/>
        </w:rPr>
        <w:t xml:space="preserve"> </w:t>
      </w:r>
      <w:proofErr w:type="spellStart"/>
      <w:r w:rsidR="00E526EF" w:rsidRPr="00E526EF">
        <w:t>T</w:t>
      </w:r>
      <w:r w:rsidRPr="00E526EF">
        <w:t>hese</w:t>
      </w:r>
      <w:proofErr w:type="spellEnd"/>
      <w:r w:rsidRPr="00E526EF">
        <w:t xml:space="preserve"> latent variables are </w:t>
      </w:r>
      <w:proofErr w:type="spellStart"/>
      <w:r w:rsidRPr="00E526EF">
        <w:t>related</w:t>
      </w:r>
      <w:proofErr w:type="spellEnd"/>
      <w:r w:rsidRPr="00E526EF">
        <w:t xml:space="preserve"> </w:t>
      </w:r>
      <w:proofErr w:type="spellStart"/>
      <w:r w:rsidRPr="00E526EF">
        <w:t>through</w:t>
      </w:r>
      <w:proofErr w:type="spellEnd"/>
      <w:r w:rsidRPr="00E526EF">
        <w:t xml:space="preserve"> </w:t>
      </w:r>
      <w:proofErr w:type="spellStart"/>
      <w:r w:rsidRPr="00E526EF">
        <w:t>different</w:t>
      </w:r>
      <w:proofErr w:type="spellEnd"/>
      <w:r w:rsidRPr="00E526EF">
        <w:t xml:space="preserve"> </w:t>
      </w:r>
      <w:proofErr w:type="spellStart"/>
      <w:r w:rsidRPr="00E526EF">
        <w:t>regression</w:t>
      </w:r>
      <w:proofErr w:type="spellEnd"/>
      <w:r w:rsidRPr="00E526EF">
        <w:t xml:space="preserve"> </w:t>
      </w:r>
      <w:proofErr w:type="spellStart"/>
      <w:proofErr w:type="gramStart"/>
      <w:r w:rsidRPr="00E526EF">
        <w:t>models</w:t>
      </w:r>
      <w:proofErr w:type="spellEnd"/>
      <w:r w:rsidR="00E8569E" w:rsidRPr="00E526EF">
        <w:t>:</w:t>
      </w:r>
      <w:proofErr w:type="gramEnd"/>
      <w:r w:rsidR="00E8569E" w:rsidRPr="00E526EF">
        <w:t xml:space="preserve"> (</w:t>
      </w:r>
      <w:r w:rsidR="00E8569E" w:rsidRPr="00E526EF">
        <w:rPr>
          <w:b/>
          <w:bCs/>
        </w:rPr>
        <w:t>t</w:t>
      </w:r>
      <w:r w:rsidR="00E8569E" w:rsidRPr="00E526EF">
        <w:rPr>
          <w:b/>
          <w:bCs/>
          <w:vertAlign w:val="subscript"/>
        </w:rPr>
        <w:t>1</w:t>
      </w:r>
      <w:r w:rsidR="00E8569E" w:rsidRPr="00E526EF">
        <w:t xml:space="preserve">, </w:t>
      </w:r>
      <w:r w:rsidR="00E8569E" w:rsidRPr="00E526EF">
        <w:rPr>
          <w:b/>
          <w:bCs/>
        </w:rPr>
        <w:t>t</w:t>
      </w:r>
      <w:r w:rsidR="00E8569E" w:rsidRPr="00E526EF">
        <w:rPr>
          <w:b/>
          <w:bCs/>
          <w:vertAlign w:val="subscript"/>
        </w:rPr>
        <w:t>2</w:t>
      </w:r>
      <w:r w:rsidR="00E8569E" w:rsidRPr="00E526EF">
        <w:t xml:space="preserve">, </w:t>
      </w:r>
      <w:r w:rsidR="00E8569E" w:rsidRPr="00E526EF">
        <w:rPr>
          <w:b/>
          <w:bCs/>
        </w:rPr>
        <w:t>t</w:t>
      </w:r>
      <w:r w:rsidR="00E8569E" w:rsidRPr="00E526EF">
        <w:rPr>
          <w:b/>
          <w:bCs/>
          <w:vertAlign w:val="subscript"/>
        </w:rPr>
        <w:t>3</w:t>
      </w:r>
      <w:r w:rsidR="00E8569E" w:rsidRPr="00E526EF">
        <w:t xml:space="preserve">, </w:t>
      </w:r>
      <w:r w:rsidR="00E8569E" w:rsidRPr="00E526EF">
        <w:rPr>
          <w:b/>
          <w:bCs/>
        </w:rPr>
        <w:t>t</w:t>
      </w:r>
      <w:r w:rsidR="00E8569E" w:rsidRPr="00E526EF">
        <w:rPr>
          <w:b/>
          <w:bCs/>
          <w:vertAlign w:val="subscript"/>
        </w:rPr>
        <w:t>4</w:t>
      </w:r>
      <w:r w:rsidR="00E8569E" w:rsidRPr="00E526EF">
        <w:t xml:space="preserve">) </w:t>
      </w:r>
      <w:r w:rsidR="00E8569E" w:rsidRPr="00E526EF">
        <w:rPr>
          <w:rFonts w:cstheme="minorHAnsi"/>
        </w:rPr>
        <w:t>→</w:t>
      </w:r>
      <w:r w:rsidR="00E8569E" w:rsidRPr="00E526EF">
        <w:rPr>
          <w:b/>
          <w:bCs/>
        </w:rPr>
        <w:t xml:space="preserve"> </w:t>
      </w:r>
      <w:proofErr w:type="spellStart"/>
      <w:r w:rsidR="00E8569E" w:rsidRPr="00E526EF">
        <w:rPr>
          <w:b/>
          <w:bCs/>
        </w:rPr>
        <w:t>t</w:t>
      </w:r>
      <w:r w:rsidR="00E8569E" w:rsidRPr="00E526EF">
        <w:rPr>
          <w:b/>
          <w:bCs/>
          <w:vertAlign w:val="subscript"/>
        </w:rPr>
        <w:t>y</w:t>
      </w:r>
      <w:proofErr w:type="spellEnd"/>
      <w:r w:rsidR="0081592A" w:rsidRPr="00E526EF">
        <w:rPr>
          <w:b/>
          <w:bCs/>
          <w:vertAlign w:val="subscript"/>
        </w:rPr>
        <w:t>,</w:t>
      </w:r>
      <w:r w:rsidR="00E8569E" w:rsidRPr="00E526EF">
        <w:t xml:space="preserve"> </w:t>
      </w:r>
      <w:r w:rsidR="00E8569E" w:rsidRPr="00E526EF">
        <w:t>(</w:t>
      </w:r>
      <w:r w:rsidR="00E8569E" w:rsidRPr="00E526EF">
        <w:rPr>
          <w:b/>
          <w:bCs/>
        </w:rPr>
        <w:t>t</w:t>
      </w:r>
      <w:r w:rsidR="00E8569E" w:rsidRPr="00E526EF">
        <w:rPr>
          <w:b/>
          <w:bCs/>
          <w:vertAlign w:val="subscript"/>
        </w:rPr>
        <w:t>3</w:t>
      </w:r>
      <w:r w:rsidR="00E8569E" w:rsidRPr="00E526EF">
        <w:t xml:space="preserve">, </w:t>
      </w:r>
      <w:r w:rsidR="00E8569E" w:rsidRPr="00E526EF">
        <w:rPr>
          <w:b/>
          <w:bCs/>
        </w:rPr>
        <w:t>t</w:t>
      </w:r>
      <w:r w:rsidR="00E8569E" w:rsidRPr="00E526EF">
        <w:rPr>
          <w:b/>
          <w:bCs/>
          <w:vertAlign w:val="subscript"/>
        </w:rPr>
        <w:t>4</w:t>
      </w:r>
      <w:r w:rsidR="00E8569E" w:rsidRPr="00E526EF">
        <w:t xml:space="preserve">) </w:t>
      </w:r>
      <w:r w:rsidR="00E8569E" w:rsidRPr="00E526EF">
        <w:rPr>
          <w:rFonts w:cstheme="minorHAnsi"/>
        </w:rPr>
        <w:t>→</w:t>
      </w:r>
      <w:r w:rsidR="00E8569E" w:rsidRPr="00E526EF">
        <w:rPr>
          <w:b/>
          <w:bCs/>
        </w:rPr>
        <w:t xml:space="preserve"> t</w:t>
      </w:r>
      <w:r w:rsidR="00E8569E" w:rsidRPr="00E526EF">
        <w:rPr>
          <w:b/>
          <w:bCs/>
          <w:vertAlign w:val="subscript"/>
        </w:rPr>
        <w:t>1</w:t>
      </w:r>
      <w:r w:rsidR="00E8569E" w:rsidRPr="00E526EF">
        <w:t xml:space="preserve">, </w:t>
      </w:r>
      <w:r w:rsidR="00E8569E" w:rsidRPr="00E526EF">
        <w:t>(</w:t>
      </w:r>
      <w:r w:rsidR="00E8569E" w:rsidRPr="00E526EF">
        <w:rPr>
          <w:b/>
          <w:bCs/>
        </w:rPr>
        <w:t>t</w:t>
      </w:r>
      <w:r w:rsidR="00E8569E" w:rsidRPr="00E526EF">
        <w:rPr>
          <w:b/>
          <w:bCs/>
          <w:vertAlign w:val="subscript"/>
        </w:rPr>
        <w:t>3</w:t>
      </w:r>
      <w:r w:rsidR="00E8569E" w:rsidRPr="00E526EF">
        <w:t xml:space="preserve">, </w:t>
      </w:r>
      <w:r w:rsidR="00E8569E" w:rsidRPr="00E526EF">
        <w:rPr>
          <w:b/>
          <w:bCs/>
        </w:rPr>
        <w:t>t</w:t>
      </w:r>
      <w:r w:rsidR="00E8569E" w:rsidRPr="00E526EF">
        <w:rPr>
          <w:b/>
          <w:bCs/>
          <w:vertAlign w:val="subscript"/>
        </w:rPr>
        <w:t>4</w:t>
      </w:r>
      <w:r w:rsidR="00E8569E" w:rsidRPr="00E526EF">
        <w:t xml:space="preserve">) </w:t>
      </w:r>
      <w:r w:rsidR="00E8569E" w:rsidRPr="00E526EF">
        <w:rPr>
          <w:rFonts w:cstheme="minorHAnsi"/>
        </w:rPr>
        <w:t>→</w:t>
      </w:r>
      <w:r w:rsidR="00E8569E" w:rsidRPr="00E526EF">
        <w:rPr>
          <w:b/>
          <w:bCs/>
        </w:rPr>
        <w:t xml:space="preserve"> t</w:t>
      </w:r>
      <w:r w:rsidR="00E8569E" w:rsidRPr="00E526EF">
        <w:rPr>
          <w:b/>
          <w:bCs/>
          <w:vertAlign w:val="subscript"/>
        </w:rPr>
        <w:t>2</w:t>
      </w:r>
      <w:r w:rsidR="00E8569E" w:rsidRPr="00E526EF">
        <w:t xml:space="preserve">, </w:t>
      </w:r>
      <w:r w:rsidR="00E8569E" w:rsidRPr="00E526EF">
        <w:t>(</w:t>
      </w:r>
      <w:r w:rsidR="00E8569E" w:rsidRPr="00E526EF">
        <w:rPr>
          <w:b/>
          <w:bCs/>
        </w:rPr>
        <w:t>t</w:t>
      </w:r>
      <w:r w:rsidR="00E8569E" w:rsidRPr="00E526EF">
        <w:rPr>
          <w:b/>
          <w:bCs/>
          <w:vertAlign w:val="subscript"/>
        </w:rPr>
        <w:t>2</w:t>
      </w:r>
      <w:r w:rsidR="00E8569E" w:rsidRPr="00E526EF">
        <w:t xml:space="preserve">, </w:t>
      </w:r>
      <w:r w:rsidR="00E8569E" w:rsidRPr="00E526EF">
        <w:rPr>
          <w:b/>
          <w:bCs/>
        </w:rPr>
        <w:t>t</w:t>
      </w:r>
      <w:r w:rsidR="00E8569E" w:rsidRPr="00E526EF">
        <w:rPr>
          <w:b/>
          <w:bCs/>
          <w:vertAlign w:val="subscript"/>
        </w:rPr>
        <w:t>3</w:t>
      </w:r>
      <w:r w:rsidR="00E8569E" w:rsidRPr="00E526EF">
        <w:t xml:space="preserve">) </w:t>
      </w:r>
      <w:r w:rsidR="00E8569E" w:rsidRPr="00E526EF">
        <w:rPr>
          <w:rFonts w:cstheme="minorHAnsi"/>
        </w:rPr>
        <w:t>→</w:t>
      </w:r>
      <w:r w:rsidR="00E8569E" w:rsidRPr="00E526EF">
        <w:rPr>
          <w:b/>
          <w:bCs/>
        </w:rPr>
        <w:t xml:space="preserve"> t</w:t>
      </w:r>
      <w:r w:rsidR="00E8569E" w:rsidRPr="00E526EF">
        <w:rPr>
          <w:b/>
          <w:bCs/>
          <w:vertAlign w:val="subscript"/>
        </w:rPr>
        <w:t>4</w:t>
      </w:r>
      <w:r w:rsidR="00E8569E" w:rsidRPr="00E526EF">
        <w:t xml:space="preserve"> and </w:t>
      </w:r>
      <w:r w:rsidR="00E8569E" w:rsidRPr="00E526EF">
        <w:t>(</w:t>
      </w:r>
      <w:r w:rsidR="00E8569E" w:rsidRPr="00E526EF">
        <w:rPr>
          <w:b/>
          <w:bCs/>
        </w:rPr>
        <w:t>t</w:t>
      </w:r>
      <w:r w:rsidR="00E8569E" w:rsidRPr="00E526EF">
        <w:rPr>
          <w:b/>
          <w:bCs/>
          <w:vertAlign w:val="subscript"/>
        </w:rPr>
        <w:t>2</w:t>
      </w:r>
      <w:r w:rsidR="00E8569E" w:rsidRPr="00E526EF">
        <w:t xml:space="preserve">, </w:t>
      </w:r>
      <w:r w:rsidR="00E8569E" w:rsidRPr="00E526EF">
        <w:rPr>
          <w:b/>
          <w:bCs/>
        </w:rPr>
        <w:t>t</w:t>
      </w:r>
      <w:r w:rsidR="00E8569E" w:rsidRPr="00E526EF">
        <w:rPr>
          <w:b/>
          <w:bCs/>
          <w:vertAlign w:val="subscript"/>
        </w:rPr>
        <w:t>4</w:t>
      </w:r>
      <w:r w:rsidR="00E8569E" w:rsidRPr="00E526EF">
        <w:t xml:space="preserve">) </w:t>
      </w:r>
      <w:r w:rsidR="00E8569E" w:rsidRPr="00E526EF">
        <w:rPr>
          <w:rFonts w:cstheme="minorHAnsi"/>
        </w:rPr>
        <w:t>→</w:t>
      </w:r>
      <w:r w:rsidR="00E8569E" w:rsidRPr="00E526EF">
        <w:rPr>
          <w:b/>
          <w:bCs/>
        </w:rPr>
        <w:t xml:space="preserve"> t</w:t>
      </w:r>
      <w:r w:rsidR="00E8569E" w:rsidRPr="00E526EF">
        <w:rPr>
          <w:b/>
          <w:bCs/>
          <w:vertAlign w:val="subscript"/>
        </w:rPr>
        <w:t>3</w:t>
      </w:r>
      <w:r w:rsidRPr="00E526EF">
        <w:t xml:space="preserve">. </w:t>
      </w:r>
      <w:r>
        <w:rPr>
          <w:lang w:val="en-US"/>
        </w:rPr>
        <w:t xml:space="preserve">Solutions are </w:t>
      </w:r>
      <w:r w:rsidR="00DE4679">
        <w:rPr>
          <w:lang w:val="en-US"/>
        </w:rPr>
        <w:t>obtained</w:t>
      </w:r>
      <w:r>
        <w:rPr>
          <w:lang w:val="en-US"/>
        </w:rPr>
        <w:t xml:space="preserve"> with an Alternating Least Square algorithm. </w:t>
      </w:r>
    </w:p>
    <w:p w14:paraId="506EE8B5" w14:textId="6B8FE1CC" w:rsidR="008748CB" w:rsidRPr="00F83121" w:rsidRDefault="008748CB" w:rsidP="008748CB">
      <w:pPr>
        <w:rPr>
          <w:lang w:val="en-US"/>
        </w:rPr>
      </w:pPr>
      <w:r w:rsidRPr="00F83121">
        <w:rPr>
          <w:b/>
          <w:bCs/>
          <w:lang w:val="en-US"/>
        </w:rPr>
        <w:t>Perspectives.</w:t>
      </w:r>
      <w:r w:rsidRPr="00F83121">
        <w:rPr>
          <w:lang w:val="en-US"/>
        </w:rPr>
        <w:t xml:space="preserve"> A limitation of our study is that fPC1</w:t>
      </w:r>
      <w:r>
        <w:rPr>
          <w:lang w:val="en-US"/>
        </w:rPr>
        <w:t xml:space="preserve"> </w:t>
      </w:r>
      <w:r w:rsidRPr="00F83121">
        <w:rPr>
          <w:lang w:val="en-US"/>
        </w:rPr>
        <w:t>summariz</w:t>
      </w:r>
      <w:r w:rsidR="00446DF0">
        <w:rPr>
          <w:lang w:val="en-US"/>
        </w:rPr>
        <w:t xml:space="preserve">es </w:t>
      </w:r>
      <w:r w:rsidRPr="00F83121">
        <w:rPr>
          <w:lang w:val="en-US"/>
        </w:rPr>
        <w:t xml:space="preserve">only the main trends. </w:t>
      </w:r>
      <w:r>
        <w:rPr>
          <w:lang w:val="en-US"/>
        </w:rPr>
        <w:t>T</w:t>
      </w:r>
      <w:r w:rsidRPr="00F83121">
        <w:rPr>
          <w:lang w:val="en-US"/>
        </w:rPr>
        <w:t xml:space="preserve">o capture more functional information, </w:t>
      </w:r>
      <w:r>
        <w:rPr>
          <w:lang w:val="en-US"/>
        </w:rPr>
        <w:t>f</w:t>
      </w:r>
      <w:r w:rsidRPr="00F83121">
        <w:rPr>
          <w:lang w:val="en-US"/>
        </w:rPr>
        <w:t xml:space="preserve">uture work could involve several functional components per variable and applying the three-way GSCA (Choi, 2018). </w:t>
      </w:r>
      <w:r w:rsidR="00313EE8" w:rsidRPr="00313EE8">
        <w:rPr>
          <w:lang w:val="en-US"/>
        </w:rPr>
        <w:t>Our final aim is to directly integrate functional explanatory and outcome variables into GSCA.</w:t>
      </w:r>
      <w:r w:rsidRPr="00F83121">
        <w:rPr>
          <w:lang w:val="en-US"/>
        </w:rPr>
        <w:t xml:space="preserve"> (Suk</w:t>
      </w:r>
      <w:r>
        <w:rPr>
          <w:lang w:val="en-US"/>
        </w:rPr>
        <w:t>, 2016</w:t>
      </w:r>
      <w:r w:rsidRPr="00F83121">
        <w:rPr>
          <w:lang w:val="en-US"/>
        </w:rPr>
        <w:t xml:space="preserve">). </w:t>
      </w:r>
    </w:p>
    <w:p w14:paraId="49E2408B" w14:textId="77777777" w:rsidR="008748CB" w:rsidRPr="00F83121" w:rsidRDefault="008748CB" w:rsidP="008748CB">
      <w:pPr>
        <w:rPr>
          <w:b/>
          <w:bCs/>
          <w:lang w:val="en-US"/>
        </w:rPr>
      </w:pPr>
      <w:r w:rsidRPr="00F83121">
        <w:rPr>
          <w:b/>
          <w:bCs/>
          <w:lang w:val="en-US"/>
        </w:rPr>
        <w:t>References.</w:t>
      </w:r>
    </w:p>
    <w:p w14:paraId="07D2F7B4" w14:textId="4821F957" w:rsidR="008748CB" w:rsidRPr="00F83121" w:rsidRDefault="008748CB" w:rsidP="008748CB">
      <w:pPr>
        <w:rPr>
          <w:lang w:val="en-US"/>
        </w:rPr>
      </w:pPr>
      <w:r w:rsidRPr="00F83121">
        <w:rPr>
          <w:lang w:val="en-US"/>
        </w:rPr>
        <w:t xml:space="preserve">[1] Ramsey, J. O. and Silverman, B. W. (2005). </w:t>
      </w:r>
      <w:r w:rsidRPr="006340AA">
        <w:rPr>
          <w:i/>
          <w:iCs/>
          <w:lang w:val="en-US"/>
        </w:rPr>
        <w:t>Functional Data Analysis</w:t>
      </w:r>
      <w:r w:rsidRPr="00F83121">
        <w:rPr>
          <w:lang w:val="en-US"/>
        </w:rPr>
        <w:t xml:space="preserve">, Chapter 8. </w:t>
      </w:r>
      <w:r>
        <w:rPr>
          <w:lang w:val="en-US"/>
        </w:rPr>
        <w:br/>
      </w:r>
      <w:r w:rsidRPr="00F83121">
        <w:rPr>
          <w:lang w:val="en-US"/>
        </w:rPr>
        <w:t xml:space="preserve">[2] </w:t>
      </w:r>
      <w:proofErr w:type="spellStart"/>
      <w:r w:rsidRPr="006340AA">
        <w:rPr>
          <w:lang w:val="en-US"/>
        </w:rPr>
        <w:t>Vigneau</w:t>
      </w:r>
      <w:proofErr w:type="spellEnd"/>
      <w:r w:rsidRPr="006340AA">
        <w:rPr>
          <w:lang w:val="en-US"/>
        </w:rPr>
        <w:t xml:space="preserve">, E., &amp; </w:t>
      </w:r>
      <w:proofErr w:type="spellStart"/>
      <w:r w:rsidRPr="006340AA">
        <w:rPr>
          <w:lang w:val="en-US"/>
        </w:rPr>
        <w:t>Qannari</w:t>
      </w:r>
      <w:proofErr w:type="spellEnd"/>
      <w:r w:rsidRPr="006340AA">
        <w:rPr>
          <w:lang w:val="en-US"/>
        </w:rPr>
        <w:t xml:space="preserve">, E. M. (2003). </w:t>
      </w:r>
      <w:r w:rsidRPr="006340AA">
        <w:rPr>
          <w:i/>
          <w:iCs/>
          <w:lang w:val="en-US"/>
        </w:rPr>
        <w:t>Clustering of Variables Around Latent Components</w:t>
      </w:r>
      <w:r w:rsidRPr="006340AA">
        <w:rPr>
          <w:lang w:val="en-US"/>
        </w:rPr>
        <w:t xml:space="preserve">. Communications in Statistics - Simulation and Computation, 32(4), 1131–1150. </w:t>
      </w:r>
      <w:r>
        <w:rPr>
          <w:lang w:val="en-US"/>
        </w:rPr>
        <w:br/>
      </w:r>
      <w:r w:rsidRPr="00F83121">
        <w:rPr>
          <w:lang w:val="en-US"/>
        </w:rPr>
        <w:lastRenderedPageBreak/>
        <w:t xml:space="preserve">[3] Hwang H., </w:t>
      </w:r>
      <w:proofErr w:type="spellStart"/>
      <w:r w:rsidRPr="00F83121">
        <w:rPr>
          <w:lang w:val="en-US"/>
        </w:rPr>
        <w:t>Takane</w:t>
      </w:r>
      <w:proofErr w:type="spellEnd"/>
      <w:r w:rsidRPr="00F83121">
        <w:rPr>
          <w:lang w:val="en-US"/>
        </w:rPr>
        <w:t xml:space="preserve"> Y. (2004). </w:t>
      </w:r>
      <w:r w:rsidRPr="006C5BDB">
        <w:rPr>
          <w:i/>
          <w:iCs/>
          <w:lang w:val="en-US"/>
        </w:rPr>
        <w:t>Generalized Structured Component Analysis</w:t>
      </w:r>
      <w:r w:rsidRPr="00F83121">
        <w:rPr>
          <w:lang w:val="en-US"/>
        </w:rPr>
        <w:t xml:space="preserve">. </w:t>
      </w:r>
      <w:proofErr w:type="spellStart"/>
      <w:r>
        <w:t>Psychometrika</w:t>
      </w:r>
      <w:proofErr w:type="spellEnd"/>
      <w:r>
        <w:t xml:space="preserve"> Vol.69, No. 1, 81–99. </w:t>
      </w:r>
    </w:p>
    <w:p w14:paraId="3BC03892" w14:textId="77777777" w:rsidR="00C2224E" w:rsidRDefault="00C2224E"/>
    <w:sectPr w:rsidR="00C2224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8CB"/>
    <w:rsid w:val="00036DA4"/>
    <w:rsid w:val="001A4DD3"/>
    <w:rsid w:val="00226976"/>
    <w:rsid w:val="00242EAD"/>
    <w:rsid w:val="00313EE8"/>
    <w:rsid w:val="003B4BF1"/>
    <w:rsid w:val="00446DF0"/>
    <w:rsid w:val="00465769"/>
    <w:rsid w:val="004C741C"/>
    <w:rsid w:val="004F5124"/>
    <w:rsid w:val="00630548"/>
    <w:rsid w:val="00670290"/>
    <w:rsid w:val="006D4BF0"/>
    <w:rsid w:val="007D1BCE"/>
    <w:rsid w:val="0081592A"/>
    <w:rsid w:val="008748CB"/>
    <w:rsid w:val="00993657"/>
    <w:rsid w:val="00BA7362"/>
    <w:rsid w:val="00BE3DCF"/>
    <w:rsid w:val="00C2224E"/>
    <w:rsid w:val="00C42F44"/>
    <w:rsid w:val="00D820E8"/>
    <w:rsid w:val="00DB60C3"/>
    <w:rsid w:val="00DE4679"/>
    <w:rsid w:val="00E526EF"/>
    <w:rsid w:val="00E8569E"/>
    <w:rsid w:val="00FA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5939B1"/>
  <w15:chartTrackingRefBased/>
  <w15:docId w15:val="{EA561188-6C3F-4CA1-8E7F-3A051C36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48C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Marquedecommentaire">
    <w:name w:val="annotation reference"/>
    <w:basedOn w:val="Policepardfaut"/>
    <w:uiPriority w:val="99"/>
    <w:semiHidden/>
    <w:unhideWhenUsed/>
    <w:rsid w:val="008748C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8748C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8748C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2</Pages>
  <Words>554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MARTET Gaspard</dc:creator>
  <cp:keywords/>
  <dc:description/>
  <cp:lastModifiedBy>MARTET Gaspard</cp:lastModifiedBy>
  <cp:revision>5</cp:revision>
  <dcterms:created xsi:type="dcterms:W3CDTF">2026-05-26T14:08:00Z</dcterms:created>
  <dcterms:modified xsi:type="dcterms:W3CDTF">2026-05-29T14:38:00Z</dcterms:modified>
</cp:coreProperties>
</file>