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Sétimo año</w:t>
      </w:r>
    </w:p>
    <w:p>
      <w:pPr>
        <w:spacing w:after="80"/>
        <w:jc w:val="center"/>
      </w:pPr>
      <w:r>
        <w:rPr>
          <w:sz w:val="26"/>
        </w:rPr>
        <w:t>III Ciclo de la Educación General Básica</w:t>
      </w:r>
    </w:p>
    <w:p>
      <w:pPr>
        <w:spacing w:after="1200"/>
        <w:jc w:val="center"/>
      </w:pPr>
      <w:r>
        <w:rPr>
          <w:color w:val="555555"/>
          <w:sz w:val="22"/>
        </w:rPr>
        <w:t>Edad de referencia: 12 a 13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sétimo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sétimo año del III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sétimo año</w:t>
      </w:r>
    </w:p>
    <w:p>
      <w:pPr>
        <w:jc w:val="both"/>
      </w:pPr>
      <w:r>
        <w:t>Sétimo año es la puerta del colegio y también la del III Ciclo. Al grupo llegan estudiantes de muchas escuelas: unos llevaron ajedrez desde primer año y ya juegan con reloj y planilla, otros lo jugaron en la casa con un abuelo o en el celular, y algunos nunca han movido una pieza. Por eso el año arranca con un diagnóstico hecho con juegos y una unidad de nivelación por niveles, con monitores que ayudan a quien empieza mientras avanzan en los temas combinativos que el Manual 3 presenta con partidas reales.</w:t>
      </w:r>
    </w:p>
    <w:p>
      <w:pPr>
        <w:jc w:val="both"/>
      </w:pPr>
      <w:r>
        <w:t>El salto de este año es pasar de «ver jugadas» a «entender posiciones». La persona estudiante aprende a evaluar una posición con los cinco factores de Steinitz, a distinguir ventajas temporales de permanentes, a jugar la Italiana y la Española por sus ideas (no de memoria), a usar columnas abiertas, la séptima fila y los puestos avanzados, y a ganar finales de peones que exigen técnica: triangulación, maniobra de Réti, peón pasado protegido y dama contra peón en séptima. Cierra con dos partidas que todo ajedrecista debería conocer: Lasker contra Capablanca (San Petersburgo, 1914) y Tarrasch contra Marco (Viena, 1898).</w:t>
      </w:r>
    </w:p>
    <w:p>
      <w:pPr>
        <w:jc w:val="both"/>
      </w:pPr>
      <w:r>
        <w:t>Como corresponde al III Ciclo, cada semestre tiene un proyecto con nota y avances en días fijos: en el primero, un fichero de temas combinativos con partidas reales; en el segundo, una partida comentada por equipos. Lo que se aprende aquí prepara para octavo año, donde la evaluación de la posición se convierte en plan estratégico, llegan el ataque al rey enrocado y las defensas semiabiertas, y los finales pasan a las piezas menores.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sétimo año</w:t>
      </w:r>
    </w:p>
    <w:p>
      <w:r>
        <w:rPr>
          <w:b/>
        </w:rPr>
        <w:t>Conocimientos que se esperan al iniciar el año:</w:t>
      </w:r>
    </w:p>
    <w:p>
      <w:pPr>
        <w:pStyle w:val="ListBullet"/>
      </w:pPr>
      <w:r>
        <w:t>Movimiento y captura de todas las piezas, enroque, coronación y captura al paso (quien no lo trae lo nivela en las primeras semanas).</w:t>
      </w:r>
    </w:p>
    <w:p>
      <w:pPr>
        <w:pStyle w:val="ListBullet"/>
      </w:pPr>
      <w:r>
        <w:t>Jaque, jaque mate, tablas y los mates básicos con dama y con torre.</w:t>
      </w:r>
    </w:p>
    <w:p>
      <w:pPr>
        <w:pStyle w:val="ListBullet"/>
      </w:pPr>
      <w:r>
        <w:t>Lectura y escritura de la notación algebraica en español.</w:t>
      </w:r>
    </w:p>
    <w:p>
      <w:pPr>
        <w:pStyle w:val="ListBullet"/>
      </w:pPr>
      <w:r>
        <w:t>Temas tácticos elementales: ataque doble, clavada, enfilada, descubierta, desviación y sobrecarga.</w:t>
      </w:r>
    </w:p>
    <w:p>
      <w:pPr>
        <w:pStyle w:val="ListBullet"/>
      </w:pPr>
      <w:r>
        <w:t>Nociones de finales de peones (regla del cuadrado, oposición) y de estructuras de peones, según lo visto en quinto y sexto año.</w:t>
      </w:r>
    </w:p>
    <w:p>
      <w:r>
        <w:rPr>
          <w:b/>
        </w:rPr>
        <w:t>Al finalizar el año, la persona estudiante:</w:t>
      </w:r>
    </w:p>
    <w:p>
      <w:pPr>
        <w:pStyle w:val="ListBullet"/>
      </w:pPr>
      <w:r>
        <w:t>Juega una partida completa con reloj y planilla, respetando el Reglamento de la FIDE y las normas de juego limpio.</w:t>
      </w:r>
    </w:p>
    <w:p>
      <w:pPr>
        <w:pStyle w:val="ListBullet"/>
      </w:pPr>
      <w:r>
        <w:t>Reconoce en partidas reales los temas combinativos básicos (ataque doble, desviación, atracción, clavada, descubierta, destrucción de la defensa, despeje, intercepción, debilidad de la primera fila) y los nombra con precisión.</w:t>
      </w:r>
    </w:p>
    <w:p>
      <w:pPr>
        <w:pStyle w:val="ListBullet"/>
      </w:pPr>
      <w:r>
        <w:t>Resuelve ejercicios tácticos con un método: mirar sin tocar, anotar las jugadas candidatas, comprobar en el tablero y comparar con la solución.</w:t>
      </w:r>
    </w:p>
    <w:p>
      <w:pPr>
        <w:pStyle w:val="ListBullet"/>
      </w:pPr>
      <w:r>
        <w:t>Evalúa una posición con los cinco factores de Steinitz y explica por escrito qué bando está mejor y por qué.</w:t>
      </w:r>
    </w:p>
    <w:p>
      <w:pPr>
        <w:pStyle w:val="ListBullet"/>
      </w:pPr>
      <w:r>
        <w:t>Distingue ventajas temporales y permanentes y propone cómo transformar una en otra.</w:t>
      </w:r>
    </w:p>
    <w:p>
      <w:pPr>
        <w:pStyle w:val="ListBullet"/>
      </w:pPr>
      <w:r>
        <w:t>Juega la Italiana y la Española con blancas o negras siguiendo sus ideas centrales y evita las celadas más conocidas de esas aperturas.</w:t>
      </w:r>
    </w:p>
    <w:p>
      <w:pPr>
        <w:pStyle w:val="ListBullet"/>
      </w:pPr>
      <w:r>
        <w:t>Ubica sus torres en columnas abiertas, aprovecha la séptima fila y busca puestos avanzados para sus caballos.</w:t>
      </w:r>
    </w:p>
    <w:p>
      <w:pPr>
        <w:pStyle w:val="ListBullet"/>
      </w:pPr>
      <w:r>
        <w:t>Gana o defiende finales de peones con triangulación, oposición a distancia, maniobra de Réti y el método de dama contra peón en séptima.</w:t>
      </w:r>
    </w:p>
    <w:p>
      <w:pPr>
        <w:pStyle w:val="ListBullet"/>
      </w:pPr>
      <w:r>
        <w:t>Trabaja en equipo en un proyecto con avances fechados y expone sus conclusiones con apoyo de tableros, fichas o recursos digitales.</w:t>
      </w:r>
    </w:p>
    <w:p>
      <w:pPr>
        <w:pStyle w:val="Heading1"/>
      </w:pPr>
      <w:r>
        <w:t>7. Orientaciones metodológicas</w:t>
      </w:r>
    </w:p>
    <w:p>
      <w:pPr>
        <w:jc w:val="both"/>
      </w:pPr>
      <w:r>
        <w:t>En el III Ciclo se combinan tres formatos: la clase de análisis (una partida o posición proyectada y discutida), el taller de ejercicios por niveles y la partida con reloj anotada. La persona adolescente necesita argumentar; por eso se pide siempre que explique por qué eligió una jugada.</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35 %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25 %</w:t>
            </w:r>
          </w:p>
        </w:tc>
      </w:tr>
      <w:tr>
        <w:tc>
          <w:tcPr>
            <w:tcW w:type="dxa" w:w="4535"/>
          </w:tcPr>
          <w:p>
            <w:pPr>
              <w:pStyle w:val="Celda9RXS"/>
            </w:pPr>
            <w:r/>
            <w:r>
              <w:t>Proyecto</w:t>
            </w:r>
          </w:p>
        </w:tc>
        <w:tc>
          <w:tcPr>
            <w:tcW w:type="dxa" w:w="2268"/>
          </w:tcPr>
          <w:p>
            <w:pPr>
              <w:pStyle w:val="Celda9RXS"/>
            </w:pPr>
            <w:r/>
            <w:r>
              <w:t>20 %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Diagnóstico, nivelación y temas combinativos básicos</w:t>
            </w:r>
          </w:p>
        </w:tc>
        <w:tc>
          <w:tcPr>
            <w:tcW w:type="dxa" w:w="1134"/>
          </w:tcPr>
          <w:p>
            <w:pPr>
              <w:pStyle w:val="Celda9RXS"/>
            </w:pPr>
            <w:r/>
            <w:r>
              <w:t>I</w:t>
            </w:r>
          </w:p>
        </w:tc>
        <w:tc>
          <w:tcPr>
            <w:tcW w:type="dxa" w:w="1361"/>
          </w:tcPr>
          <w:p>
            <w:pPr>
              <w:pStyle w:val="Celda9RXS"/>
            </w:pPr>
            <w:r/>
            <w:r>
              <w:t>1 a 35</w:t>
            </w:r>
          </w:p>
        </w:tc>
        <w:tc>
          <w:tcPr>
            <w:tcW w:type="dxa" w:w="1361"/>
          </w:tcPr>
          <w:p>
            <w:pPr>
              <w:pStyle w:val="Celda9RXS"/>
            </w:pPr>
            <w:r/>
            <w:r>
              <w:t>1 a 7</w:t>
            </w:r>
          </w:p>
        </w:tc>
        <w:tc>
          <w:tcPr>
            <w:tcW w:type="dxa" w:w="1247"/>
          </w:tcPr>
          <w:p>
            <w:pPr>
              <w:pStyle w:val="Celda9RXS"/>
            </w:pPr>
            <w:r/>
            <w:r>
              <w:t>35</w:t>
            </w:r>
          </w:p>
        </w:tc>
      </w:tr>
      <w:tr>
        <w:tc>
          <w:tcPr>
            <w:tcW w:type="dxa" w:w="4535"/>
          </w:tcPr>
          <w:p>
            <w:pPr>
              <w:pStyle w:val="Celda9RXS"/>
            </w:pPr>
            <w:r/>
            <w:r>
              <w:t>2. Evaluar una posición: los cinco factores de Steinitz</w:t>
            </w:r>
          </w:p>
        </w:tc>
        <w:tc>
          <w:tcPr>
            <w:tcW w:type="dxa" w:w="1134"/>
          </w:tcPr>
          <w:p>
            <w:pPr>
              <w:pStyle w:val="Celda9RXS"/>
            </w:pPr>
            <w:r/>
            <w:r>
              <w:t>I</w:t>
            </w:r>
          </w:p>
        </w:tc>
        <w:tc>
          <w:tcPr>
            <w:tcW w:type="dxa" w:w="1361"/>
          </w:tcPr>
          <w:p>
            <w:pPr>
              <w:pStyle w:val="Celda9RXS"/>
            </w:pPr>
            <w:r/>
            <w:r>
              <w:t>36 a 70</w:t>
            </w:r>
          </w:p>
        </w:tc>
        <w:tc>
          <w:tcPr>
            <w:tcW w:type="dxa" w:w="1361"/>
          </w:tcPr>
          <w:p>
            <w:pPr>
              <w:pStyle w:val="Celda9RXS"/>
            </w:pPr>
            <w:r/>
            <w:r>
              <w:t>8 a 14</w:t>
            </w:r>
          </w:p>
        </w:tc>
        <w:tc>
          <w:tcPr>
            <w:tcW w:type="dxa" w:w="1247"/>
          </w:tcPr>
          <w:p>
            <w:pPr>
              <w:pStyle w:val="Celda9RXS"/>
            </w:pPr>
            <w:r/>
            <w:r>
              <w:t>35</w:t>
            </w:r>
          </w:p>
        </w:tc>
      </w:tr>
      <w:tr>
        <w:tc>
          <w:tcPr>
            <w:tcW w:type="dxa" w:w="4535"/>
          </w:tcPr>
          <w:p>
            <w:pPr>
              <w:pStyle w:val="Celda9RXS"/>
            </w:pPr>
            <w:r/>
            <w:r>
              <w:t>3. Repertorio con 1.e4 e5: la Italiana y la Española</w:t>
            </w:r>
          </w:p>
        </w:tc>
        <w:tc>
          <w:tcPr>
            <w:tcW w:type="dxa" w:w="1134"/>
          </w:tcPr>
          <w:p>
            <w:pPr>
              <w:pStyle w:val="Celda9RXS"/>
            </w:pPr>
            <w:r/>
            <w:r>
              <w:t>I</w:t>
            </w:r>
          </w:p>
        </w:tc>
        <w:tc>
          <w:tcPr>
            <w:tcW w:type="dxa" w:w="1361"/>
          </w:tcPr>
          <w:p>
            <w:pPr>
              <w:pStyle w:val="Celda9RXS"/>
            </w:pPr>
            <w:r/>
            <w:r>
              <w:t>71 a 100</w:t>
            </w:r>
          </w:p>
        </w:tc>
        <w:tc>
          <w:tcPr>
            <w:tcW w:type="dxa" w:w="1361"/>
          </w:tcPr>
          <w:p>
            <w:pPr>
              <w:pStyle w:val="Celda9RXS"/>
            </w:pPr>
            <w:r/>
            <w:r>
              <w:t>15 a 20</w:t>
            </w:r>
          </w:p>
        </w:tc>
        <w:tc>
          <w:tcPr>
            <w:tcW w:type="dxa" w:w="1247"/>
          </w:tcPr>
          <w:p>
            <w:pPr>
              <w:pStyle w:val="Celda9RXS"/>
            </w:pPr>
            <w:r/>
            <w:r>
              <w:t>30</w:t>
            </w:r>
          </w:p>
        </w:tc>
      </w:tr>
      <w:tr>
        <w:tc>
          <w:tcPr>
            <w:tcW w:type="dxa" w:w="4535"/>
          </w:tcPr>
          <w:p>
            <w:pPr>
              <w:pStyle w:val="Celda9RXS"/>
            </w:pPr>
            <w:r/>
            <w:r>
              <w:t>4. Columnas abiertas, séptima fila, casillas fuertes y puestos avanzados</w:t>
            </w:r>
          </w:p>
        </w:tc>
        <w:tc>
          <w:tcPr>
            <w:tcW w:type="dxa" w:w="1134"/>
          </w:tcPr>
          <w:p>
            <w:pPr>
              <w:pStyle w:val="Celda9RXS"/>
            </w:pPr>
            <w:r/>
            <w:r>
              <w:t>II</w:t>
            </w:r>
          </w:p>
        </w:tc>
        <w:tc>
          <w:tcPr>
            <w:tcW w:type="dxa" w:w="1361"/>
          </w:tcPr>
          <w:p>
            <w:pPr>
              <w:pStyle w:val="Celda9RXS"/>
            </w:pPr>
            <w:r/>
            <w:r>
              <w:t>101 a 135</w:t>
            </w:r>
          </w:p>
        </w:tc>
        <w:tc>
          <w:tcPr>
            <w:tcW w:type="dxa" w:w="1361"/>
          </w:tcPr>
          <w:p>
            <w:pPr>
              <w:pStyle w:val="Celda9RXS"/>
            </w:pPr>
            <w:r/>
            <w:r>
              <w:t>21 a 27</w:t>
            </w:r>
          </w:p>
        </w:tc>
        <w:tc>
          <w:tcPr>
            <w:tcW w:type="dxa" w:w="1247"/>
          </w:tcPr>
          <w:p>
            <w:pPr>
              <w:pStyle w:val="Celda9RXS"/>
            </w:pPr>
            <w:r/>
            <w:r>
              <w:t>35</w:t>
            </w:r>
          </w:p>
        </w:tc>
      </w:tr>
      <w:tr>
        <w:tc>
          <w:tcPr>
            <w:tcW w:type="dxa" w:w="4535"/>
          </w:tcPr>
          <w:p>
            <w:pPr>
              <w:pStyle w:val="Celda9RXS"/>
            </w:pPr>
            <w:r/>
            <w:r>
              <w:t>5. Finales de peones avanzados</w:t>
            </w:r>
          </w:p>
        </w:tc>
        <w:tc>
          <w:tcPr>
            <w:tcW w:type="dxa" w:w="1134"/>
          </w:tcPr>
          <w:p>
            <w:pPr>
              <w:pStyle w:val="Celda9RXS"/>
            </w:pPr>
            <w:r/>
            <w:r>
              <w:t>II</w:t>
            </w:r>
          </w:p>
        </w:tc>
        <w:tc>
          <w:tcPr>
            <w:tcW w:type="dxa" w:w="1361"/>
          </w:tcPr>
          <w:p>
            <w:pPr>
              <w:pStyle w:val="Celda9RXS"/>
            </w:pPr>
            <w:r/>
            <w:r>
              <w:t>136 a 168</w:t>
            </w:r>
          </w:p>
        </w:tc>
        <w:tc>
          <w:tcPr>
            <w:tcW w:type="dxa" w:w="1361"/>
          </w:tcPr>
          <w:p>
            <w:pPr>
              <w:pStyle w:val="Celda9RXS"/>
            </w:pPr>
            <w:r/>
            <w:r>
              <w:t>28 a 34</w:t>
            </w:r>
          </w:p>
        </w:tc>
        <w:tc>
          <w:tcPr>
            <w:tcW w:type="dxa" w:w="1247"/>
          </w:tcPr>
          <w:p>
            <w:pPr>
              <w:pStyle w:val="Celda9RXS"/>
            </w:pPr>
            <w:r/>
            <w:r>
              <w:t>33</w:t>
            </w:r>
          </w:p>
        </w:tc>
      </w:tr>
      <w:tr>
        <w:tc>
          <w:tcPr>
            <w:tcW w:type="dxa" w:w="4535"/>
          </w:tcPr>
          <w:p>
            <w:pPr>
              <w:pStyle w:val="Celda9RXS"/>
            </w:pPr>
            <w:r/>
            <w:r>
              <w:t>6. Partidas ilustrativas y proyecto de cierre</w:t>
            </w:r>
          </w:p>
        </w:tc>
        <w:tc>
          <w:tcPr>
            <w:tcW w:type="dxa" w:w="1134"/>
          </w:tcPr>
          <w:p>
            <w:pPr>
              <w:pStyle w:val="Celda9RXS"/>
            </w:pPr>
            <w:r/>
            <w:r>
              <w:t>II</w:t>
            </w:r>
          </w:p>
        </w:tc>
        <w:tc>
          <w:tcPr>
            <w:tcW w:type="dxa" w:w="1361"/>
          </w:tcPr>
          <w:p>
            <w:pPr>
              <w:pStyle w:val="Celda9RXS"/>
            </w:pPr>
            <w:r/>
            <w:r>
              <w:t>169 a 200</w:t>
            </w:r>
          </w:p>
        </w:tc>
        <w:tc>
          <w:tcPr>
            <w:tcW w:type="dxa" w:w="1361"/>
          </w:tcPr>
          <w:p>
            <w:pPr>
              <w:pStyle w:val="Celda9RXS"/>
            </w:pPr>
            <w:r/>
            <w:r>
              <w:t>34 a 40</w:t>
            </w:r>
          </w:p>
        </w:tc>
        <w:tc>
          <w:tcPr>
            <w:tcW w:type="dxa" w:w="1247"/>
          </w:tcPr>
          <w:p>
            <w:pPr>
              <w:pStyle w:val="Celda9RXS"/>
            </w:pPr>
            <w:r/>
            <w:r>
              <w:t>32</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Sétimo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Sétimo año</dc:title>
  <dc:subject>Programa de estudio de Ajedrez, Sétimo año, III Ciclo de la Educación General Básica</dc:subject>
  <dc:creator>Oscar Angulo Cubero</dc:creator>
  <cp:keywords>ajedrez; programa de estudio; sétimo año; III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