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Octavo año</w:t>
      </w:r>
    </w:p>
    <w:p>
      <w:pPr>
        <w:spacing w:after="80"/>
        <w:jc w:val="center"/>
      </w:pPr>
      <w:r>
        <w:rPr>
          <w:sz w:val="26"/>
        </w:rPr>
        <w:t>III Ciclo de la Educación General Básica</w:t>
      </w:r>
    </w:p>
    <w:p>
      <w:pPr>
        <w:spacing w:after="1200"/>
        <w:jc w:val="center"/>
      </w:pPr>
      <w:r>
        <w:rPr>
          <w:color w:val="555555"/>
          <w:sz w:val="22"/>
        </w:rPr>
        <w:t>Edad de referencia: 13 a 14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octavo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octavo año del III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octavo año</w:t>
      </w:r>
    </w:p>
    <w:p>
      <w:pPr>
        <w:jc w:val="both"/>
      </w:pPr>
      <w:r>
        <w:t>En octavo año la persona estudiante deja de preguntarse solamente qué jugada hacer y empieza a preguntarse para qué la hace. En sétimo aprendió a evaluar una posición con los cinco factores de Steinitz, a usar columnas abiertas y casillas fuertes, y a manejar finales de peones avanzados. Este año convierte esa evaluación en un plan: decide dónde atacar, qué piezas cambiar, cuándo abrir la posición y cuándo cerrarla, y lo dice en voz alta frente al grupo con argumentos.</w:t>
      </w:r>
    </w:p>
    <w:p>
      <w:pPr>
        <w:jc w:val="both"/>
      </w:pPr>
      <w:r>
        <w:t>El programa recorre seis unidades. Las tres primeras (I semestre) tratan el plan estratégico según el Manual 3, el ataque al rey enrocado (sacrificio griego, avalancha de peones, imágenes de mate) y las tres defensas semiabiertas más jugadas contra 1.e4: Siciliana, Francesa y Caro-Kann, estudiadas por sus ideas y estructuras, no por memoria de jugadas. Las tres del II semestre tratan las piezas menores (alfil bueno y malo, alfil contra caballo, la pareja de alfiles), los finales de piezas menores con el mate de alfil y caballo, y la historia del ajedrez de Steinitz a Botvinnik con las partidas del Manual 4.</w:t>
      </w:r>
    </w:p>
    <w:p>
      <w:pPr>
        <w:jc w:val="both"/>
      </w:pPr>
      <w:r>
        <w:t>A los 13 y 14 años el estudiantado discute, defiende su opinión y quiere ser escuchado. Por eso casi todas las lecciones tienen un momento de análisis en grupo, un debate corto o una exposición con el tablero mural, y cada semestre cierra con un proyecto con nota y avances fechados. Quien llega a octavo sin haber cursado los años anteriores tiene en las primeras dos semanas una ruta de nivelación con lo esencial de sétimo, y la persona docente puede reforzar con los días marcados como flexibles.</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octavo año</w:t>
      </w:r>
    </w:p>
    <w:p>
      <w:r>
        <w:rPr>
          <w:b/>
        </w:rPr>
        <w:t>Conocimientos que se esperan al iniciar el año:</w:t>
      </w:r>
    </w:p>
    <w:p>
      <w:pPr>
        <w:pStyle w:val="ListBullet"/>
      </w:pPr>
      <w:r>
        <w:t>Reglas completas del juego según la FIDE, notación algebraica y uso de la planilla y del reloj.</w:t>
      </w:r>
    </w:p>
    <w:p>
      <w:pPr>
        <w:pStyle w:val="ListBullet"/>
      </w:pPr>
      <w:r>
        <w:t>Temas combinativos básicos: ataque doble, clavada, desviación, atracción, descubierta, destrucción de la defensa.</w:t>
      </w:r>
    </w:p>
    <w:p>
      <w:pPr>
        <w:pStyle w:val="ListBullet"/>
      </w:pPr>
      <w:r>
        <w:t>Los cinco factores de Steinitz para evaluar una posición y la diferencia entre ventajas temporales y permanentes.</w:t>
      </w:r>
    </w:p>
    <w:p>
      <w:pPr>
        <w:pStyle w:val="ListBullet"/>
      </w:pPr>
      <w:r>
        <w:t>Ideas de la Italiana y la Española; columnas abiertas, séptima fila, casillas fuertes y puestos avanzados.</w:t>
      </w:r>
    </w:p>
    <w:p>
      <w:pPr>
        <w:pStyle w:val="ListBullet"/>
      </w:pPr>
      <w:r>
        <w:t>Finales de peones: oposición, regla del cuadrado, triangulación, maniobra de Réti y dama contra peón en séptima.</w:t>
      </w:r>
    </w:p>
    <w:p>
      <w:pPr>
        <w:pStyle w:val="ListBullet"/>
      </w:pPr>
      <w:r>
        <w:t>Mates básicos con dama y con torre, y los mates con nombre del pasillo y de Légal.</w:t>
      </w:r>
    </w:p>
    <w:p>
      <w:r>
        <w:rPr>
          <w:b/>
        </w:rPr>
        <w:t>Al finalizar el año, la persona estudiante:</w:t>
      </w:r>
    </w:p>
    <w:p>
      <w:pPr>
        <w:pStyle w:val="ListBullet"/>
      </w:pPr>
      <w:r>
        <w:t>Evalúa una posición con los cinco factores de Steinitz y formula un plan a largo plazo y uno inmediato que cumplen las cuatro condiciones del Manual 3.</w:t>
      </w:r>
    </w:p>
    <w:p>
      <w:pPr>
        <w:pStyle w:val="ListBullet"/>
      </w:pPr>
      <w:r>
        <w:t>Reconoce cuándo una posición permite atacar al rey enrocado y aplica, verificando sus condiciones, el sacrificio griego, la avalancha de peones y las imágenes de mate más frecuentes.</w:t>
      </w:r>
    </w:p>
    <w:p>
      <w:pPr>
        <w:pStyle w:val="ListBullet"/>
      </w:pPr>
      <w:r>
        <w:t>Defiende su enroque con economía de fuerzas y responde al ataque de flanco con una reacción en el centro.</w:t>
      </w:r>
    </w:p>
    <w:p>
      <w:pPr>
        <w:pStyle w:val="ListBullet"/>
      </w:pPr>
      <w:r>
        <w:t>Explica las ideas, la estructura de peones y los planes típicos de la Siciliana, la Francesa y la Caro-Kann, y elige una de ellas para su repertorio con argumentos.</w:t>
      </w:r>
    </w:p>
    <w:p>
      <w:pPr>
        <w:pStyle w:val="ListBullet"/>
      </w:pPr>
      <w:r>
        <w:t>Distingue alfil bueno, alfil malo y alfil malo pero activo, decide entre alfil y caballo según la estructura y aprovecha la pareja de alfiles abriendo la posición.</w:t>
      </w:r>
    </w:p>
    <w:p>
      <w:pPr>
        <w:pStyle w:val="ListBullet"/>
      </w:pPr>
      <w:r>
        <w:t>Aplica los principios de los finales de piezas menores y ejecuta el mate de alfil y caballo por su método dentro de la regla de las 50 jugadas.</w:t>
      </w:r>
    </w:p>
    <w:p>
      <w:pPr>
        <w:pStyle w:val="ListBullet"/>
      </w:pPr>
      <w:r>
        <w:t>Describe el aporte de los campeones mundiales de Steinitz a Botvinnik y analiza partidas suyas del Manual 4 con los conceptos del año.</w:t>
      </w:r>
    </w:p>
    <w:p>
      <w:pPr>
        <w:pStyle w:val="ListBullet"/>
      </w:pPr>
      <w:r>
        <w:t>Argumenta en grupo, escucha y rebate con respeto, y presenta un producto de análisis ante el grupo con orden y claridad.</w:t>
      </w:r>
    </w:p>
    <w:p>
      <w:pPr>
        <w:pStyle w:val="Heading1"/>
      </w:pPr>
      <w:r>
        <w:t>7. Orientaciones metodológicas</w:t>
      </w:r>
    </w:p>
    <w:p>
      <w:pPr>
        <w:jc w:val="both"/>
      </w:pPr>
      <w:r>
        <w:t>En el III Ciclo se combinan tres formatos: la clase de análisis (una partida o posición proyectada y discutida), el taller de ejercicios por niveles y la partida con reloj anotada. La persona adolescente necesita argumentar; por eso se pide siempre que explique por qué eligió una jugada.</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35 %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25 %</w:t>
            </w:r>
          </w:p>
        </w:tc>
      </w:tr>
      <w:tr>
        <w:tc>
          <w:tcPr>
            <w:tcW w:type="dxa" w:w="4535"/>
          </w:tcPr>
          <w:p>
            <w:pPr>
              <w:pStyle w:val="Celda9RXS"/>
            </w:pPr>
            <w:r/>
            <w:r>
              <w:t>Proyecto</w:t>
            </w:r>
          </w:p>
        </w:tc>
        <w:tc>
          <w:tcPr>
            <w:tcW w:type="dxa" w:w="2268"/>
          </w:tcPr>
          <w:p>
            <w:pPr>
              <w:pStyle w:val="Celda9RXS"/>
            </w:pPr>
            <w:r/>
            <w:r>
              <w:t>20 %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El plan estratégico: cómo se elabora</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El ataque al rey enrocado</w:t>
            </w:r>
          </w:p>
        </w:tc>
        <w:tc>
          <w:tcPr>
            <w:tcW w:type="dxa" w:w="1134"/>
          </w:tcPr>
          <w:p>
            <w:pPr>
              <w:pStyle w:val="Celda9RXS"/>
            </w:pPr>
            <w:r/>
            <w:r>
              <w:t>I</w:t>
            </w:r>
          </w:p>
        </w:tc>
        <w:tc>
          <w:tcPr>
            <w:tcW w:type="dxa" w:w="1361"/>
          </w:tcPr>
          <w:p>
            <w:pPr>
              <w:pStyle w:val="Celda9RXS"/>
            </w:pPr>
            <w:r/>
            <w:r>
              <w:t>35 a 67</w:t>
            </w:r>
          </w:p>
        </w:tc>
        <w:tc>
          <w:tcPr>
            <w:tcW w:type="dxa" w:w="1361"/>
          </w:tcPr>
          <w:p>
            <w:pPr>
              <w:pStyle w:val="Celda9RXS"/>
            </w:pPr>
            <w:r/>
            <w:r>
              <w:t>7 a 14</w:t>
            </w:r>
          </w:p>
        </w:tc>
        <w:tc>
          <w:tcPr>
            <w:tcW w:type="dxa" w:w="1247"/>
          </w:tcPr>
          <w:p>
            <w:pPr>
              <w:pStyle w:val="Celda9RXS"/>
            </w:pPr>
            <w:r/>
            <w:r>
              <w:t>33</w:t>
            </w:r>
          </w:p>
        </w:tc>
      </w:tr>
      <w:tr>
        <w:tc>
          <w:tcPr>
            <w:tcW w:type="dxa" w:w="4535"/>
          </w:tcPr>
          <w:p>
            <w:pPr>
              <w:pStyle w:val="Celda9RXS"/>
            </w:pPr>
            <w:r/>
            <w:r>
              <w:t>3. Defensas semiabiertas contra 1.e4: Siciliana, Francesa y Caro-Kann</w:t>
            </w:r>
          </w:p>
        </w:tc>
        <w:tc>
          <w:tcPr>
            <w:tcW w:type="dxa" w:w="1134"/>
          </w:tcPr>
          <w:p>
            <w:pPr>
              <w:pStyle w:val="Celda9RXS"/>
            </w:pPr>
            <w:r/>
            <w:r>
              <w:t>I</w:t>
            </w:r>
          </w:p>
        </w:tc>
        <w:tc>
          <w:tcPr>
            <w:tcW w:type="dxa" w:w="1361"/>
          </w:tcPr>
          <w:p>
            <w:pPr>
              <w:pStyle w:val="Celda9RXS"/>
            </w:pPr>
            <w:r/>
            <w:r>
              <w:t>68 a 100</w:t>
            </w:r>
          </w:p>
        </w:tc>
        <w:tc>
          <w:tcPr>
            <w:tcW w:type="dxa" w:w="1361"/>
          </w:tcPr>
          <w:p>
            <w:pPr>
              <w:pStyle w:val="Celda9RXS"/>
            </w:pPr>
            <w:r/>
            <w:r>
              <w:t>14 a 20</w:t>
            </w:r>
          </w:p>
        </w:tc>
        <w:tc>
          <w:tcPr>
            <w:tcW w:type="dxa" w:w="1247"/>
          </w:tcPr>
          <w:p>
            <w:pPr>
              <w:pStyle w:val="Celda9RXS"/>
            </w:pPr>
            <w:r/>
            <w:r>
              <w:t>33</w:t>
            </w:r>
          </w:p>
        </w:tc>
      </w:tr>
      <w:tr>
        <w:tc>
          <w:tcPr>
            <w:tcW w:type="dxa" w:w="4535"/>
          </w:tcPr>
          <w:p>
            <w:pPr>
              <w:pStyle w:val="Celda9RXS"/>
            </w:pPr>
            <w:r/>
            <w:r>
              <w:t>4. Alfil bueno y alfil malo, alfil contra caballo y la pareja de alfiles</w:t>
            </w:r>
          </w:p>
        </w:tc>
        <w:tc>
          <w:tcPr>
            <w:tcW w:type="dxa" w:w="1134"/>
          </w:tcPr>
          <w:p>
            <w:pPr>
              <w:pStyle w:val="Celda9RXS"/>
            </w:pPr>
            <w:r/>
            <w:r>
              <w:t>II</w:t>
            </w:r>
          </w:p>
        </w:tc>
        <w:tc>
          <w:tcPr>
            <w:tcW w:type="dxa" w:w="1361"/>
          </w:tcPr>
          <w:p>
            <w:pPr>
              <w:pStyle w:val="Celda9RXS"/>
            </w:pPr>
            <w:r/>
            <w:r>
              <w:t>101 a 134</w:t>
            </w:r>
          </w:p>
        </w:tc>
        <w:tc>
          <w:tcPr>
            <w:tcW w:type="dxa" w:w="1361"/>
          </w:tcPr>
          <w:p>
            <w:pPr>
              <w:pStyle w:val="Celda9RXS"/>
            </w:pPr>
            <w:r/>
            <w:r>
              <w:t>21 a 27</w:t>
            </w:r>
          </w:p>
        </w:tc>
        <w:tc>
          <w:tcPr>
            <w:tcW w:type="dxa" w:w="1247"/>
          </w:tcPr>
          <w:p>
            <w:pPr>
              <w:pStyle w:val="Celda9RXS"/>
            </w:pPr>
            <w:r/>
            <w:r>
              <w:t>34</w:t>
            </w:r>
          </w:p>
        </w:tc>
      </w:tr>
      <w:tr>
        <w:tc>
          <w:tcPr>
            <w:tcW w:type="dxa" w:w="4535"/>
          </w:tcPr>
          <w:p>
            <w:pPr>
              <w:pStyle w:val="Celda9RXS"/>
            </w:pPr>
            <w:r/>
            <w:r>
              <w:t>5. Finales de piezas menores y el mate de alfil y caballo</w:t>
            </w:r>
          </w:p>
        </w:tc>
        <w:tc>
          <w:tcPr>
            <w:tcW w:type="dxa" w:w="1134"/>
          </w:tcPr>
          <w:p>
            <w:pPr>
              <w:pStyle w:val="Celda9RXS"/>
            </w:pPr>
            <w:r/>
            <w:r>
              <w:t>II</w:t>
            </w:r>
          </w:p>
        </w:tc>
        <w:tc>
          <w:tcPr>
            <w:tcW w:type="dxa" w:w="1361"/>
          </w:tcPr>
          <w:p>
            <w:pPr>
              <w:pStyle w:val="Celda9RXS"/>
            </w:pPr>
            <w:r/>
            <w:r>
              <w:t>135 a 167</w:t>
            </w:r>
          </w:p>
        </w:tc>
        <w:tc>
          <w:tcPr>
            <w:tcW w:type="dxa" w:w="1361"/>
          </w:tcPr>
          <w:p>
            <w:pPr>
              <w:pStyle w:val="Celda9RXS"/>
            </w:pPr>
            <w:r/>
            <w:r>
              <w:t>27 a 34</w:t>
            </w:r>
          </w:p>
        </w:tc>
        <w:tc>
          <w:tcPr>
            <w:tcW w:type="dxa" w:w="1247"/>
          </w:tcPr>
          <w:p>
            <w:pPr>
              <w:pStyle w:val="Celda9RXS"/>
            </w:pPr>
            <w:r/>
            <w:r>
              <w:t>33</w:t>
            </w:r>
          </w:p>
        </w:tc>
      </w:tr>
      <w:tr>
        <w:tc>
          <w:tcPr>
            <w:tcW w:type="dxa" w:w="4535"/>
          </w:tcPr>
          <w:p>
            <w:pPr>
              <w:pStyle w:val="Celda9RXS"/>
            </w:pPr>
            <w:r/>
            <w:r>
              <w:t>6. Historia: de Steinitz a Botvinnik, y proyecto</w:t>
            </w:r>
          </w:p>
        </w:tc>
        <w:tc>
          <w:tcPr>
            <w:tcW w:type="dxa" w:w="1134"/>
          </w:tcPr>
          <w:p>
            <w:pPr>
              <w:pStyle w:val="Celda9RXS"/>
            </w:pPr>
            <w:r/>
            <w:r>
              <w:t>II</w:t>
            </w:r>
          </w:p>
        </w:tc>
        <w:tc>
          <w:tcPr>
            <w:tcW w:type="dxa" w:w="1361"/>
          </w:tcPr>
          <w:p>
            <w:pPr>
              <w:pStyle w:val="Celda9RXS"/>
            </w:pPr>
            <w:r/>
            <w:r>
              <w:t>168 a 200</w:t>
            </w:r>
          </w:p>
        </w:tc>
        <w:tc>
          <w:tcPr>
            <w:tcW w:type="dxa" w:w="1361"/>
          </w:tcPr>
          <w:p>
            <w:pPr>
              <w:pStyle w:val="Celda9RXS"/>
            </w:pPr>
            <w:r/>
            <w:r>
              <w:t>34 a 40</w:t>
            </w:r>
          </w:p>
        </w:tc>
        <w:tc>
          <w:tcPr>
            <w:tcW w:type="dxa" w:w="1247"/>
          </w:tcPr>
          <w:p>
            <w:pPr>
              <w:pStyle w:val="Celda9RXS"/>
            </w:pPr>
            <w:r/>
            <w:r>
              <w:t>33</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Octavo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Octavo año</dc:title>
  <dc:subject>Programa de estudio de Ajedrez, Octavo año, III Ciclo de la Educación General Básica</dc:subject>
  <dc:creator>Oscar Angulo Cubero</dc:creator>
  <cp:keywords>ajedrez; programa de estudio; octavo año; III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