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Décimo año</w:t>
      </w:r>
    </w:p>
    <w:p>
      <w:pPr>
        <w:spacing w:after="80"/>
        <w:jc w:val="center"/>
      </w:pPr>
      <w:r>
        <w:rPr>
          <w:sz w:val="26"/>
        </w:rPr>
        <w:t>Educación Diversificada</w:t>
      </w:r>
    </w:p>
    <w:p>
      <w:pPr>
        <w:spacing w:after="1200"/>
        <w:jc w:val="center"/>
      </w:pPr>
      <w:r>
        <w:rPr>
          <w:color w:val="555555"/>
          <w:sz w:val="22"/>
        </w:rPr>
        <w:t>Edad de referencia: 15 a 16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décimo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décimo año de la Educación Diversificada.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décimo año</w:t>
      </w:r>
    </w:p>
    <w:p>
      <w:pPr>
        <w:jc w:val="both"/>
      </w:pPr>
      <w:r>
        <w:t>Décimo año abre la Educación Diversificada y el curso cambia de ritmo. Hasta noveno, la persona estudiante aprendió a calcular, a reconocer temas tácticos, a jugar aperturas con ideas y a manejar los finales básicos de peones y de torre. Ahora el trabajo se centra en juzgar: decidir qué ventaja tiene cada bando, si es duradera o se va a evaporar, cuándo conviene entregar material para obtener otra cosa y cómo impedir los planes del rival antes de ejecutar los propios. La base es el Manual 3 (evaluación posicional de Steinitz, finales y estudios de Réti, Troitsky y Kubbel) y el Manual 4 (partidas de Nimzovich, Petrosian, Capablanca, Spassky y otros campeones).</w:t>
      </w:r>
    </w:p>
    <w:p>
      <w:pPr>
        <w:jc w:val="both"/>
      </w:pPr>
      <w:r>
        <w:t>El estudiantado de esta edad puede sostener un análisis largo, discutir con argumentos y trabajar con más autonomía. Por eso casi todas las lecciones piden presentar un análisis propio, defenderlo ante el grupo y contrastarlo después con la fuente o con el motor. La regla del año es sencilla: primero se piensa sin ayuda y se anota la idea; luego se consulta la computadora, y se escribe en qué coincidió y en qué no. El motor confirma o corrige, pero no reemplaza el razonamiento.</w:t>
      </w:r>
    </w:p>
    <w:p>
      <w:pPr>
        <w:jc w:val="both"/>
      </w:pPr>
      <w:r>
        <w:t>La quinta unidad saca el ajedrez del tablero y lo lleva a la matemática: el recorrido del caballo, el problema de las ocho damas, las potencias de 2 de la leyenda de Sissa y la idea del sistema Elo, con cálculos reales hechos en el cuaderno y en hoja de cálculo. Hay un proyecto con nota en cada semestre: en el primero, el análisis en equipo de una partida clásica; en el segundo, una revista o boletín escolar con partidas comentadas por el propio estudiantado. Al terminar, la persona estudiante queda lista para undécimo, donde construirá su repertorio y estudiará a los campeones recientes.</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décimo año</w:t>
      </w:r>
    </w:p>
    <w:p>
      <w:r>
        <w:rPr>
          <w:b/>
        </w:rPr>
        <w:t>Conocimientos que se esperan al iniciar el año:</w:t>
      </w:r>
    </w:p>
    <w:p>
      <w:pPr>
        <w:pStyle w:val="ListBullet"/>
      </w:pPr>
      <w:r>
        <w:t>Reglas completas, notación algebraica y uso del reloj; partidas anotadas con planilla.</w:t>
      </w:r>
    </w:p>
    <w:p>
      <w:pPr>
        <w:pStyle w:val="ListBullet"/>
      </w:pPr>
      <w:r>
        <w:t>Temas tácticos y cálculo de variantes con jugadas candidatas (noveno año, Manual 5).</w:t>
      </w:r>
    </w:p>
    <w:p>
      <w:pPr>
        <w:pStyle w:val="ListBullet"/>
      </w:pPr>
      <w:r>
        <w:t>Ideas de aperturas abiertas, semiabiertas y de peón de dama (Gambito de Dama y Ataque Torre).</w:t>
      </w:r>
    </w:p>
    <w:p>
      <w:pPr>
        <w:pStyle w:val="ListBullet"/>
      </w:pPr>
      <w:r>
        <w:t>Finales básicos: regla del cuadrado, oposición directa, Lucena y Philidor.</w:t>
      </w:r>
    </w:p>
    <w:p>
      <w:pPr>
        <w:pStyle w:val="ListBullet"/>
      </w:pPr>
      <w:r>
        <w:t>Nociones de evaluación posicional y de plan estratégico vistas en sétimo y octavo.</w:t>
      </w:r>
    </w:p>
    <w:p>
      <w:pPr>
        <w:pStyle w:val="ListBullet"/>
      </w:pPr>
      <w:r>
        <w:t>Uso básico de bases de datos y motores, y normas de juego en línea seguro (noveno año).</w:t>
      </w:r>
    </w:p>
    <w:p>
      <w:r>
        <w:rPr>
          <w:b/>
        </w:rPr>
        <w:t>Al finalizar el año, la persona estudiante:</w:t>
      </w:r>
    </w:p>
    <w:p>
      <w:pPr>
        <w:pStyle w:val="ListBullet"/>
      </w:pPr>
      <w:r>
        <w:t>Evalúa una posición con los cinco factores de Steinitz y distingue las ventajas temporales de las permanentes.</w:t>
      </w:r>
    </w:p>
    <w:p>
      <w:pPr>
        <w:pStyle w:val="ListBullet"/>
      </w:pPr>
      <w:r>
        <w:t>Explica por qué el bando con ventaja debe tomar la iniciativa y cómo transforma una ventaja temporal en otra duradera.</w:t>
      </w:r>
    </w:p>
    <w:p>
      <w:pPr>
        <w:pStyle w:val="ListBullet"/>
      </w:pPr>
      <w:r>
        <w:t>Diferencia un sacrificio combinativo de uno posicional y valora la compensación de un sacrificio de calidad.</w:t>
      </w:r>
    </w:p>
    <w:p>
      <w:pPr>
        <w:pStyle w:val="ListBullet"/>
      </w:pPr>
      <w:r>
        <w:t>Se pregunta qué quiere el rival antes de cada decisión y reconoce el zugzwang en el medio juego y en el final.</w:t>
      </w:r>
    </w:p>
    <w:p>
      <w:pPr>
        <w:pStyle w:val="ListBullet"/>
      </w:pPr>
      <w:r>
        <w:t>Aplica la oposición a distancia, la triangulación, la maniobra de Réti y los recursos de ahogado en finales y estudios.</w:t>
      </w:r>
    </w:p>
    <w:p>
      <w:pPr>
        <w:pStyle w:val="ListBullet"/>
      </w:pPr>
      <w:r>
        <w:t>Resuelve con método problemas matemáticos del tablero (recorrido del caballo, ocho damas, potencias de 2) y calcula la expectativa de resultado del sistema Elo.</w:t>
      </w:r>
    </w:p>
    <w:p>
      <w:pPr>
        <w:pStyle w:val="ListBullet"/>
      </w:pPr>
      <w:r>
        <w:t>Analiza primero sin ayuda y usa el motor para verificar, anotando en qué coincide y en qué se equivocó.</w:t>
      </w:r>
    </w:p>
    <w:p>
      <w:pPr>
        <w:pStyle w:val="ListBullet"/>
      </w:pPr>
      <w:r>
        <w:t>Escribe el comentario de una partida propia con notación, signos de evaluación y explicación en palabras, apto para publicarse en un boletín escolar.</w:t>
      </w:r>
    </w:p>
    <w:p>
      <w:pPr>
        <w:pStyle w:val="Heading1"/>
      </w:pPr>
      <w:r>
        <w:t>7. Orientaciones metodológicas</w:t>
      </w:r>
    </w:p>
    <w:p>
      <w:pPr>
        <w:jc w:val="both"/>
      </w:pPr>
      <w:r>
        <w:t>En la Educación Diversificada el estudiantado asume tareas de mayor autonomía: prepara análisis, presenta partidas al grupo, usa programas de análisis con criterio, organiza eventos y enseña a estudiantes más pequeños. Se cuida que el uso del motor de análisis no reemplace el pensamiento propio: primero se analiza sin ayuda y luego se contrasta.</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30 %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25 %</w:t>
            </w:r>
          </w:p>
        </w:tc>
      </w:tr>
      <w:tr>
        <w:tc>
          <w:tcPr>
            <w:tcW w:type="dxa" w:w="4535"/>
          </w:tcPr>
          <w:p>
            <w:pPr>
              <w:pStyle w:val="Celda9RXS"/>
            </w:pPr>
            <w:r/>
            <w:r>
              <w:t>Proyecto</w:t>
            </w:r>
          </w:p>
        </w:tc>
        <w:tc>
          <w:tcPr>
            <w:tcW w:type="dxa" w:w="2268"/>
          </w:tcPr>
          <w:p>
            <w:pPr>
              <w:pStyle w:val="Celda9RXS"/>
            </w:pPr>
            <w:r/>
            <w:r>
              <w:t>25 %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Estática y dinámica: ventajas temporales y permanentes, la iniciativa</w:t>
            </w:r>
          </w:p>
        </w:tc>
        <w:tc>
          <w:tcPr>
            <w:tcW w:type="dxa" w:w="1134"/>
          </w:tcPr>
          <w:p>
            <w:pPr>
              <w:pStyle w:val="Celda9RXS"/>
            </w:pPr>
            <w:r/>
            <w:r>
              <w:t>I</w:t>
            </w:r>
          </w:p>
        </w:tc>
        <w:tc>
          <w:tcPr>
            <w:tcW w:type="dxa" w:w="1361"/>
          </w:tcPr>
          <w:p>
            <w:pPr>
              <w:pStyle w:val="Celda9RXS"/>
            </w:pPr>
            <w:r/>
            <w:r>
              <w:t>1 a 34</w:t>
            </w:r>
          </w:p>
        </w:tc>
        <w:tc>
          <w:tcPr>
            <w:tcW w:type="dxa" w:w="1361"/>
          </w:tcPr>
          <w:p>
            <w:pPr>
              <w:pStyle w:val="Celda9RXS"/>
            </w:pPr>
            <w:r/>
            <w:r>
              <w:t>1 a 7</w:t>
            </w:r>
          </w:p>
        </w:tc>
        <w:tc>
          <w:tcPr>
            <w:tcW w:type="dxa" w:w="1247"/>
          </w:tcPr>
          <w:p>
            <w:pPr>
              <w:pStyle w:val="Celda9RXS"/>
            </w:pPr>
            <w:r/>
            <w:r>
              <w:t>34</w:t>
            </w:r>
          </w:p>
        </w:tc>
      </w:tr>
      <w:tr>
        <w:tc>
          <w:tcPr>
            <w:tcW w:type="dxa" w:w="4535"/>
          </w:tcPr>
          <w:p>
            <w:pPr>
              <w:pStyle w:val="Celda9RXS"/>
            </w:pPr>
            <w:r/>
            <w:r>
              <w:t>2. El sacrificio posicional y el sacrificio de calidad</w:t>
            </w:r>
          </w:p>
        </w:tc>
        <w:tc>
          <w:tcPr>
            <w:tcW w:type="dxa" w:w="1134"/>
          </w:tcPr>
          <w:p>
            <w:pPr>
              <w:pStyle w:val="Celda9RXS"/>
            </w:pPr>
            <w:r/>
            <w:r>
              <w:t>I</w:t>
            </w:r>
          </w:p>
        </w:tc>
        <w:tc>
          <w:tcPr>
            <w:tcW w:type="dxa" w:w="1361"/>
          </w:tcPr>
          <w:p>
            <w:pPr>
              <w:pStyle w:val="Celda9RXS"/>
            </w:pPr>
            <w:r/>
            <w:r>
              <w:t>35 a 66</w:t>
            </w:r>
          </w:p>
        </w:tc>
        <w:tc>
          <w:tcPr>
            <w:tcW w:type="dxa" w:w="1361"/>
          </w:tcPr>
          <w:p>
            <w:pPr>
              <w:pStyle w:val="Celda9RXS"/>
            </w:pPr>
            <w:r/>
            <w:r>
              <w:t>7 a 14</w:t>
            </w:r>
          </w:p>
        </w:tc>
        <w:tc>
          <w:tcPr>
            <w:tcW w:type="dxa" w:w="1247"/>
          </w:tcPr>
          <w:p>
            <w:pPr>
              <w:pStyle w:val="Celda9RXS"/>
            </w:pPr>
            <w:r/>
            <w:r>
              <w:t>32</w:t>
            </w:r>
          </w:p>
        </w:tc>
      </w:tr>
      <w:tr>
        <w:tc>
          <w:tcPr>
            <w:tcW w:type="dxa" w:w="4535"/>
          </w:tcPr>
          <w:p>
            <w:pPr>
              <w:pStyle w:val="Celda9RXS"/>
            </w:pPr>
            <w:r/>
            <w:r>
              <w:t>3. Profilaxis y zugzwang en el medio juego</w:t>
            </w:r>
          </w:p>
        </w:tc>
        <w:tc>
          <w:tcPr>
            <w:tcW w:type="dxa" w:w="1134"/>
          </w:tcPr>
          <w:p>
            <w:pPr>
              <w:pStyle w:val="Celda9RXS"/>
            </w:pPr>
            <w:r/>
            <w:r>
              <w:t>I</w:t>
            </w:r>
          </w:p>
        </w:tc>
        <w:tc>
          <w:tcPr>
            <w:tcW w:type="dxa" w:w="1361"/>
          </w:tcPr>
          <w:p>
            <w:pPr>
              <w:pStyle w:val="Celda9RXS"/>
            </w:pPr>
            <w:r/>
            <w:r>
              <w:t>67 a 100</w:t>
            </w:r>
          </w:p>
        </w:tc>
        <w:tc>
          <w:tcPr>
            <w:tcW w:type="dxa" w:w="1361"/>
          </w:tcPr>
          <w:p>
            <w:pPr>
              <w:pStyle w:val="Celda9RXS"/>
            </w:pPr>
            <w:r/>
            <w:r>
              <w:t>14 a 20</w:t>
            </w:r>
          </w:p>
        </w:tc>
        <w:tc>
          <w:tcPr>
            <w:tcW w:type="dxa" w:w="1247"/>
          </w:tcPr>
          <w:p>
            <w:pPr>
              <w:pStyle w:val="Celda9RXS"/>
            </w:pPr>
            <w:r/>
            <w:r>
              <w:t>34</w:t>
            </w:r>
          </w:p>
        </w:tc>
      </w:tr>
      <w:tr>
        <w:tc>
          <w:tcPr>
            <w:tcW w:type="dxa" w:w="4535"/>
          </w:tcPr>
          <w:p>
            <w:pPr>
              <w:pStyle w:val="Celda9RXS"/>
            </w:pPr>
            <w:r/>
            <w:r>
              <w:t>4. Finales prácticos y estudios artísticos</w:t>
            </w:r>
          </w:p>
        </w:tc>
        <w:tc>
          <w:tcPr>
            <w:tcW w:type="dxa" w:w="1134"/>
          </w:tcPr>
          <w:p>
            <w:pPr>
              <w:pStyle w:val="Celda9RXS"/>
            </w:pPr>
            <w:r/>
            <w:r>
              <w:t>II</w:t>
            </w:r>
          </w:p>
        </w:tc>
        <w:tc>
          <w:tcPr>
            <w:tcW w:type="dxa" w:w="1361"/>
          </w:tcPr>
          <w:p>
            <w:pPr>
              <w:pStyle w:val="Celda9RXS"/>
            </w:pPr>
            <w:r/>
            <w:r>
              <w:t>101 a 134</w:t>
            </w:r>
          </w:p>
        </w:tc>
        <w:tc>
          <w:tcPr>
            <w:tcW w:type="dxa" w:w="1361"/>
          </w:tcPr>
          <w:p>
            <w:pPr>
              <w:pStyle w:val="Celda9RXS"/>
            </w:pPr>
            <w:r/>
            <w:r>
              <w:t>21 a 27</w:t>
            </w:r>
          </w:p>
        </w:tc>
        <w:tc>
          <w:tcPr>
            <w:tcW w:type="dxa" w:w="1247"/>
          </w:tcPr>
          <w:p>
            <w:pPr>
              <w:pStyle w:val="Celda9RXS"/>
            </w:pPr>
            <w:r/>
            <w:r>
              <w:t>34</w:t>
            </w:r>
          </w:p>
        </w:tc>
      </w:tr>
      <w:tr>
        <w:tc>
          <w:tcPr>
            <w:tcW w:type="dxa" w:w="4535"/>
          </w:tcPr>
          <w:p>
            <w:pPr>
              <w:pStyle w:val="Celda9RXS"/>
            </w:pPr>
            <w:r/>
            <w:r>
              <w:t>5. Ajedrez, matemática y ciencia</w:t>
            </w:r>
          </w:p>
        </w:tc>
        <w:tc>
          <w:tcPr>
            <w:tcW w:type="dxa" w:w="1134"/>
          </w:tcPr>
          <w:p>
            <w:pPr>
              <w:pStyle w:val="Celda9RXS"/>
            </w:pPr>
            <w:r/>
            <w:r>
              <w:t>II</w:t>
            </w:r>
          </w:p>
        </w:tc>
        <w:tc>
          <w:tcPr>
            <w:tcW w:type="dxa" w:w="1361"/>
          </w:tcPr>
          <w:p>
            <w:pPr>
              <w:pStyle w:val="Celda9RXS"/>
            </w:pPr>
            <w:r/>
            <w:r>
              <w:t>135 a 166</w:t>
            </w:r>
          </w:p>
        </w:tc>
        <w:tc>
          <w:tcPr>
            <w:tcW w:type="dxa" w:w="1361"/>
          </w:tcPr>
          <w:p>
            <w:pPr>
              <w:pStyle w:val="Celda9RXS"/>
            </w:pPr>
            <w:r/>
            <w:r>
              <w:t>27 a 34</w:t>
            </w:r>
          </w:p>
        </w:tc>
        <w:tc>
          <w:tcPr>
            <w:tcW w:type="dxa" w:w="1247"/>
          </w:tcPr>
          <w:p>
            <w:pPr>
              <w:pStyle w:val="Celda9RXS"/>
            </w:pPr>
            <w:r/>
            <w:r>
              <w:t>32</w:t>
            </w:r>
          </w:p>
        </w:tc>
      </w:tr>
      <w:tr>
        <w:tc>
          <w:tcPr>
            <w:tcW w:type="dxa" w:w="4535"/>
          </w:tcPr>
          <w:p>
            <w:pPr>
              <w:pStyle w:val="Celda9RXS"/>
            </w:pPr>
            <w:r/>
            <w:r>
              <w:t>6. Proyecto: revista o boletín escolar con partidas comentadas</w:t>
            </w:r>
          </w:p>
        </w:tc>
        <w:tc>
          <w:tcPr>
            <w:tcW w:type="dxa" w:w="1134"/>
          </w:tcPr>
          <w:p>
            <w:pPr>
              <w:pStyle w:val="Celda9RXS"/>
            </w:pPr>
            <w:r/>
            <w:r>
              <w:t>II</w:t>
            </w:r>
          </w:p>
        </w:tc>
        <w:tc>
          <w:tcPr>
            <w:tcW w:type="dxa" w:w="1361"/>
          </w:tcPr>
          <w:p>
            <w:pPr>
              <w:pStyle w:val="Celda9RXS"/>
            </w:pPr>
            <w:r/>
            <w:r>
              <w:t>167 a 200</w:t>
            </w:r>
          </w:p>
        </w:tc>
        <w:tc>
          <w:tcPr>
            <w:tcW w:type="dxa" w:w="1361"/>
          </w:tcPr>
          <w:p>
            <w:pPr>
              <w:pStyle w:val="Celda9RXS"/>
            </w:pPr>
            <w:r/>
            <w:r>
              <w:t>34 a 40</w:t>
            </w:r>
          </w:p>
        </w:tc>
        <w:tc>
          <w:tcPr>
            <w:tcW w:type="dxa" w:w="1247"/>
          </w:tcPr>
          <w:p>
            <w:pPr>
              <w:pStyle w:val="Celda9RXS"/>
            </w:pPr>
            <w:r/>
            <w:r>
              <w:t>34</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Décimo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Décimo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Décimo año</dc:title>
  <dc:subject>Programa de estudio de Ajedrez, Décimo año, Educación Diversificada</dc:subject>
  <dc:creator>Oscar Angulo Cubero</dc:creator>
  <cp:keywords>ajedrez; programa de estudio; décimo año; Educación Diversificada;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