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Primer año</w:t>
      </w:r>
    </w:p>
    <w:p>
      <w:pPr>
        <w:spacing w:after="80"/>
        <w:jc w:val="center"/>
      </w:pPr>
      <w:r>
        <w:rPr>
          <w:sz w:val="26"/>
        </w:rPr>
        <w:t>I Ciclo de la Educación General Básica</w:t>
      </w:r>
    </w:p>
    <w:p>
      <w:pPr>
        <w:spacing w:after="1200"/>
        <w:jc w:val="center"/>
      </w:pPr>
      <w:r>
        <w:rPr>
          <w:color w:val="555555"/>
          <w:sz w:val="22"/>
        </w:rPr>
        <w:t>Edad de referencia: 6 a 7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primer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primer año del 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primer año</w:t>
      </w:r>
    </w:p>
    <w:p>
      <w:pPr>
        <w:jc w:val="both"/>
      </w:pPr>
      <w:r>
        <w:t>En primer año la mayoría de las niñas y los niños llega a la clase de ajedrez sin haber tocado nunca un tablero. Vienen del preescolar, donde aprendieron a esperar turno, a seguir consignas cortas y a trabajar en el piso. Este programa aprovecha eso: el ajedrez se aprende primero con el cuerpo, caminando sobre un tablero gigante pintado en el piso del aula o del corredor, y después con las manos, en tableros de mesa, fichas de colorear y el tablero mural de la pizarra.</w:t>
      </w:r>
    </w:p>
    <w:p>
      <w:pPr>
        <w:jc w:val="both"/>
      </w:pPr>
      <w:r>
        <w:t>El curso sigue el orden de «Ajedrez en el aula 1» (Anguix, Ballester, Bueno y Gascó): primero el tablero y sus caminos, después las piezas y la posición inicial, y luego cada pieza por separado, presentada en primera persona («Hola, soy la Torre») y practicada con minijuegos de captura y de recorrido. Las reglas se enseñan como las fijan las Leyes del Ajedrez de la FIDE, pero en dosis pequeñas: el peón avanza y captura, y su paso largo de salida se presenta hasta la última unidad; la coronación se menciona solo como premio del peón que llega al final, y el enroque y la captura al paso quedan para segundo año.</w:t>
      </w:r>
    </w:p>
    <w:p>
      <w:pPr>
        <w:jc w:val="both"/>
      </w:pPr>
      <w:r>
        <w:t>Al terminar el año, la persona estudiante juega una partida completa sencilla, reconoce cuándo su rey está en jaque y sabe salir de él, y se ha acostumbrado a saludar, a perder sin llorar demasiado y a ganar sin burlarse. En segundo año retomará el tablero para aprender el nombre de cada casilla, el valor de las piezas y los movimientos especiales, de modo que el último mes de este año ya le presenta las letras de las columnas y los números de las filas.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primer año</w:t>
      </w:r>
    </w:p>
    <w:p>
      <w:r>
        <w:rPr>
          <w:b/>
        </w:rPr>
        <w:t>Conocimientos que se esperan al iniciar el año:</w:t>
      </w:r>
    </w:p>
    <w:p>
      <w:pPr>
        <w:pStyle w:val="ListBullet"/>
      </w:pPr>
      <w:r>
        <w:t>Reconoce los colores blanco y negro, claro y oscuro, y cuenta objetos hasta 10 o más.</w:t>
      </w:r>
    </w:p>
    <w:p>
      <w:pPr>
        <w:pStyle w:val="ListBullet"/>
      </w:pPr>
      <w:r>
        <w:t>Distingue arriba, abajo, adelante, atrás y, con apoyo, derecha e izquierda en su propio cuerpo.</w:t>
      </w:r>
    </w:p>
    <w:p>
      <w:pPr>
        <w:pStyle w:val="ListBullet"/>
      </w:pPr>
      <w:r>
        <w:t>Sigue consignas de uno o dos pasos y espera su turno en juegos de mesa o de patio.</w:t>
      </w:r>
    </w:p>
    <w:p>
      <w:pPr>
        <w:pStyle w:val="ListBullet"/>
      </w:pPr>
      <w:r>
        <w:t>Agrupa y clasifica objetos por forma, color o tamaño.</w:t>
      </w:r>
    </w:p>
    <w:p>
      <w:pPr>
        <w:pStyle w:val="ListBullet"/>
      </w:pPr>
      <w:r>
        <w:t>Comparte material con un compañero o una compañera y lo guarda al terminar, con recordatorio de la persona docente.</w:t>
      </w:r>
    </w:p>
    <w:p>
      <w:r>
        <w:rPr>
          <w:b/>
        </w:rPr>
        <w:t>Al finalizar el año, la persona estudiante:</w:t>
      </w:r>
    </w:p>
    <w:p>
      <w:pPr>
        <w:pStyle w:val="ListBullet"/>
      </w:pPr>
      <w:r>
        <w:t>Coloca el tablero con la casilla blanca a su derecha y distingue filas, columnas y diagonales.</w:t>
      </w:r>
    </w:p>
    <w:p>
      <w:pPr>
        <w:pStyle w:val="ListBullet"/>
      </w:pPr>
      <w:r>
        <w:t>Nombra las seis piezas, dice cuántas hay de cada una y arma la posición inicial con la dama en su color.</w:t>
      </w:r>
    </w:p>
    <w:p>
      <w:pPr>
        <w:pStyle w:val="ListBullet"/>
      </w:pPr>
      <w:r>
        <w:t>Mueve y captura con la torre, el alfil, la dama, el rey, el peón y el caballo según las reglas.</w:t>
      </w:r>
    </w:p>
    <w:p>
      <w:pPr>
        <w:pStyle w:val="ListBullet"/>
      </w:pPr>
      <w:r>
        <w:t>Busca el camino más corto de una pieza hasta una casilla, esquivando obstáculos.</w:t>
      </w:r>
    </w:p>
    <w:p>
      <w:pPr>
        <w:pStyle w:val="ListBullet"/>
      </w:pPr>
      <w:r>
        <w:t>Reconoce el jaque y aplica las tres formas de salir de él: mover el rey, capturar la pieza atacante o tapar.</w:t>
      </w:r>
    </w:p>
    <w:p>
      <w:pPr>
        <w:pStyle w:val="ListBullet"/>
      </w:pPr>
      <w:r>
        <w:t>Explica con sus palabras qué es un jaque mate y lo distingue de un jaque en ejemplos sencillos.</w:t>
      </w:r>
    </w:p>
    <w:p>
      <w:pPr>
        <w:pStyle w:val="ListBullet"/>
      </w:pPr>
      <w:r>
        <w:t>Juega una partida completa respetando turnos, saludando al inicio y al final y cuidando el material.</w:t>
      </w:r>
    </w:p>
    <w:p>
      <w:pPr>
        <w:pStyle w:val="ListBullet"/>
      </w:pPr>
      <w:r>
        <w:t>Nombra las columnas con letras de la «a» a la «h» y las filas con números del 1 al 8.</w:t>
      </w:r>
    </w:p>
    <w:p>
      <w:pPr>
        <w:pStyle w:val="Heading1"/>
      </w:pPr>
      <w:r>
        <w:t>7. Orientaciones metodológicas</w:t>
      </w:r>
    </w:p>
    <w:p>
      <w:pPr>
        <w:jc w:val="both"/>
      </w:pPr>
      <w:r>
        <w:t>En el I Ciclo el aprendizaje entra por el cuerpo y por el cuento: tablero gigante en el piso, piezas que se presentan como personajes, canciones y desplazamientos. Las fichas de colorear y recortar acompañan, no sustituyen, al tablero. La notación aparece de forma gradual, primero nombrando columnas y filas.</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50 %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30 %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El tablero y sus caminos</w:t>
            </w:r>
          </w:p>
        </w:tc>
        <w:tc>
          <w:tcPr>
            <w:tcW w:type="dxa" w:w="1134"/>
          </w:tcPr>
          <w:p>
            <w:pPr>
              <w:pStyle w:val="Celda9RXS"/>
            </w:pPr>
            <w:r/>
            <w:r>
              <w:t>I</w:t>
            </w:r>
          </w:p>
        </w:tc>
        <w:tc>
          <w:tcPr>
            <w:tcW w:type="dxa" w:w="1361"/>
          </w:tcPr>
          <w:p>
            <w:pPr>
              <w:pStyle w:val="Celda9RXS"/>
            </w:pPr>
            <w:r/>
            <w:r>
              <w:t>1 a 30</w:t>
            </w:r>
          </w:p>
        </w:tc>
        <w:tc>
          <w:tcPr>
            <w:tcW w:type="dxa" w:w="1361"/>
          </w:tcPr>
          <w:p>
            <w:pPr>
              <w:pStyle w:val="Celda9RXS"/>
            </w:pPr>
            <w:r/>
            <w:r>
              <w:t>1 a 6</w:t>
            </w:r>
          </w:p>
        </w:tc>
        <w:tc>
          <w:tcPr>
            <w:tcW w:type="dxa" w:w="1247"/>
          </w:tcPr>
          <w:p>
            <w:pPr>
              <w:pStyle w:val="Celda9RXS"/>
            </w:pPr>
            <w:r/>
            <w:r>
              <w:t>30</w:t>
            </w:r>
          </w:p>
        </w:tc>
      </w:tr>
      <w:tr>
        <w:tc>
          <w:tcPr>
            <w:tcW w:type="dxa" w:w="4535"/>
          </w:tcPr>
          <w:p>
            <w:pPr>
              <w:pStyle w:val="Celda9RXS"/>
            </w:pPr>
            <w:r/>
            <w:r>
              <w:t>2. Las piezas y la posición inicial</w:t>
            </w:r>
          </w:p>
        </w:tc>
        <w:tc>
          <w:tcPr>
            <w:tcW w:type="dxa" w:w="1134"/>
          </w:tcPr>
          <w:p>
            <w:pPr>
              <w:pStyle w:val="Celda9RXS"/>
            </w:pPr>
            <w:r/>
            <w:r>
              <w:t>I</w:t>
            </w:r>
          </w:p>
        </w:tc>
        <w:tc>
          <w:tcPr>
            <w:tcW w:type="dxa" w:w="1361"/>
          </w:tcPr>
          <w:p>
            <w:pPr>
              <w:pStyle w:val="Celda9RXS"/>
            </w:pPr>
            <w:r/>
            <w:r>
              <w:t>31 a 60</w:t>
            </w:r>
          </w:p>
        </w:tc>
        <w:tc>
          <w:tcPr>
            <w:tcW w:type="dxa" w:w="1361"/>
          </w:tcPr>
          <w:p>
            <w:pPr>
              <w:pStyle w:val="Celda9RXS"/>
            </w:pPr>
            <w:r/>
            <w:r>
              <w:t>7 a 12</w:t>
            </w:r>
          </w:p>
        </w:tc>
        <w:tc>
          <w:tcPr>
            <w:tcW w:type="dxa" w:w="1247"/>
          </w:tcPr>
          <w:p>
            <w:pPr>
              <w:pStyle w:val="Celda9RXS"/>
            </w:pPr>
            <w:r/>
            <w:r>
              <w:t>30</w:t>
            </w:r>
          </w:p>
        </w:tc>
      </w:tr>
      <w:tr>
        <w:tc>
          <w:tcPr>
            <w:tcW w:type="dxa" w:w="4535"/>
          </w:tcPr>
          <w:p>
            <w:pPr>
              <w:pStyle w:val="Celda9RXS"/>
            </w:pPr>
            <w:r/>
            <w:r>
              <w:t>3. La torre y el alfil</w:t>
            </w:r>
          </w:p>
        </w:tc>
        <w:tc>
          <w:tcPr>
            <w:tcW w:type="dxa" w:w="1134"/>
          </w:tcPr>
          <w:p>
            <w:pPr>
              <w:pStyle w:val="Celda9RXS"/>
            </w:pPr>
            <w:r/>
            <w:r>
              <w:t>I</w:t>
            </w:r>
          </w:p>
        </w:tc>
        <w:tc>
          <w:tcPr>
            <w:tcW w:type="dxa" w:w="1361"/>
          </w:tcPr>
          <w:p>
            <w:pPr>
              <w:pStyle w:val="Celda9RXS"/>
            </w:pPr>
            <w:r/>
            <w:r>
              <w:t>61 a 100</w:t>
            </w:r>
          </w:p>
        </w:tc>
        <w:tc>
          <w:tcPr>
            <w:tcW w:type="dxa" w:w="1361"/>
          </w:tcPr>
          <w:p>
            <w:pPr>
              <w:pStyle w:val="Celda9RXS"/>
            </w:pPr>
            <w:r/>
            <w:r>
              <w:t>13 a 20</w:t>
            </w:r>
          </w:p>
        </w:tc>
        <w:tc>
          <w:tcPr>
            <w:tcW w:type="dxa" w:w="1247"/>
          </w:tcPr>
          <w:p>
            <w:pPr>
              <w:pStyle w:val="Celda9RXS"/>
            </w:pPr>
            <w:r/>
            <w:r>
              <w:t>40</w:t>
            </w:r>
          </w:p>
        </w:tc>
      </w:tr>
      <w:tr>
        <w:tc>
          <w:tcPr>
            <w:tcW w:type="dxa" w:w="4535"/>
          </w:tcPr>
          <w:p>
            <w:pPr>
              <w:pStyle w:val="Celda9RXS"/>
            </w:pPr>
            <w:r/>
            <w:r>
              <w:t>4. La dama y el rey</w:t>
            </w:r>
          </w:p>
        </w:tc>
        <w:tc>
          <w:tcPr>
            <w:tcW w:type="dxa" w:w="1134"/>
          </w:tcPr>
          <w:p>
            <w:pPr>
              <w:pStyle w:val="Celda9RXS"/>
            </w:pPr>
            <w:r/>
            <w:r>
              <w:t>II</w:t>
            </w:r>
          </w:p>
        </w:tc>
        <w:tc>
          <w:tcPr>
            <w:tcW w:type="dxa" w:w="1361"/>
          </w:tcPr>
          <w:p>
            <w:pPr>
              <w:pStyle w:val="Celda9RXS"/>
            </w:pPr>
            <w:r/>
            <w:r>
              <w:t>101 a 133</w:t>
            </w:r>
          </w:p>
        </w:tc>
        <w:tc>
          <w:tcPr>
            <w:tcW w:type="dxa" w:w="1361"/>
          </w:tcPr>
          <w:p>
            <w:pPr>
              <w:pStyle w:val="Celda9RXS"/>
            </w:pPr>
            <w:r/>
            <w:r>
              <w:t>21 a 27</w:t>
            </w:r>
          </w:p>
        </w:tc>
        <w:tc>
          <w:tcPr>
            <w:tcW w:type="dxa" w:w="1247"/>
          </w:tcPr>
          <w:p>
            <w:pPr>
              <w:pStyle w:val="Celda9RXS"/>
            </w:pPr>
            <w:r/>
            <w:r>
              <w:t>33</w:t>
            </w:r>
          </w:p>
        </w:tc>
      </w:tr>
      <w:tr>
        <w:tc>
          <w:tcPr>
            <w:tcW w:type="dxa" w:w="4535"/>
          </w:tcPr>
          <w:p>
            <w:pPr>
              <w:pStyle w:val="Celda9RXS"/>
            </w:pPr>
            <w:r/>
            <w:r>
              <w:t>5. El peón y el caballo</w:t>
            </w:r>
          </w:p>
        </w:tc>
        <w:tc>
          <w:tcPr>
            <w:tcW w:type="dxa" w:w="1134"/>
          </w:tcPr>
          <w:p>
            <w:pPr>
              <w:pStyle w:val="Celda9RXS"/>
            </w:pPr>
            <w:r/>
            <w:r>
              <w:t>II</w:t>
            </w:r>
          </w:p>
        </w:tc>
        <w:tc>
          <w:tcPr>
            <w:tcW w:type="dxa" w:w="1361"/>
          </w:tcPr>
          <w:p>
            <w:pPr>
              <w:pStyle w:val="Celda9RXS"/>
            </w:pPr>
            <w:r/>
            <w:r>
              <w:t>134 a 166</w:t>
            </w:r>
          </w:p>
        </w:tc>
        <w:tc>
          <w:tcPr>
            <w:tcW w:type="dxa" w:w="1361"/>
          </w:tcPr>
          <w:p>
            <w:pPr>
              <w:pStyle w:val="Celda9RXS"/>
            </w:pPr>
            <w:r/>
            <w:r>
              <w:t>27 a 34</w:t>
            </w:r>
          </w:p>
        </w:tc>
        <w:tc>
          <w:tcPr>
            <w:tcW w:type="dxa" w:w="1247"/>
          </w:tcPr>
          <w:p>
            <w:pPr>
              <w:pStyle w:val="Celda9RXS"/>
            </w:pPr>
            <w:r/>
            <w:r>
              <w:t>33</w:t>
            </w:r>
          </w:p>
        </w:tc>
      </w:tr>
      <w:tr>
        <w:tc>
          <w:tcPr>
            <w:tcW w:type="dxa" w:w="4535"/>
          </w:tcPr>
          <w:p>
            <w:pPr>
              <w:pStyle w:val="Celda9RXS"/>
            </w:pPr>
            <w:r/>
            <w:r>
              <w:t>6. Jaque y mi primera partida</w:t>
            </w:r>
          </w:p>
        </w:tc>
        <w:tc>
          <w:tcPr>
            <w:tcW w:type="dxa" w:w="1134"/>
          </w:tcPr>
          <w:p>
            <w:pPr>
              <w:pStyle w:val="Celda9RXS"/>
            </w:pPr>
            <w:r/>
            <w:r>
              <w:t>II</w:t>
            </w:r>
          </w:p>
        </w:tc>
        <w:tc>
          <w:tcPr>
            <w:tcW w:type="dxa" w:w="1361"/>
          </w:tcPr>
          <w:p>
            <w:pPr>
              <w:pStyle w:val="Celda9RXS"/>
            </w:pPr>
            <w:r/>
            <w:r>
              <w:t>167 a 200</w:t>
            </w:r>
          </w:p>
        </w:tc>
        <w:tc>
          <w:tcPr>
            <w:tcW w:type="dxa" w:w="1361"/>
          </w:tcPr>
          <w:p>
            <w:pPr>
              <w:pStyle w:val="Celda9RXS"/>
            </w:pPr>
            <w:r/>
            <w:r>
              <w:t>34 a 40</w:t>
            </w:r>
          </w:p>
        </w:tc>
        <w:tc>
          <w:tcPr>
            <w:tcW w:type="dxa" w:w="1247"/>
          </w:tcPr>
          <w:p>
            <w:pPr>
              <w:pStyle w:val="Celda9RXS"/>
            </w:pPr>
            <w:r/>
            <w:r>
              <w:t>34</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Primer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Primer año</dc:title>
  <dc:subject>Programa de estudio de Ajedrez, Primer año, I Ciclo de la Educación General Básica</dc:subject>
  <dc:creator>Oscar Angulo Cubero</dc:creator>
  <cp:keywords>ajedrez; programa de estudio; primer año; 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