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Cuarto año</w:t>
      </w:r>
    </w:p>
    <w:p>
      <w:pPr>
        <w:spacing w:after="80"/>
        <w:jc w:val="center"/>
      </w:pPr>
      <w:r>
        <w:rPr>
          <w:sz w:val="26"/>
        </w:rPr>
        <w:t>II Ciclo de la Educación General Básica</w:t>
      </w:r>
    </w:p>
    <w:p>
      <w:pPr>
        <w:spacing w:after="1200"/>
        <w:jc w:val="center"/>
      </w:pPr>
      <w:r>
        <w:rPr>
          <w:color w:val="555555"/>
          <w:sz w:val="22"/>
        </w:rPr>
        <w:t>Edad de referencia: 9 a 10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cuarto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cuarto año del II Ciclo de la Educación General Básica.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cuarto año</w:t>
      </w:r>
    </w:p>
    <w:p>
      <w:pPr>
        <w:jc w:val="both"/>
      </w:pPr>
      <w:r>
        <w:t>En cuarto año el estudiantado llega jugando partidas completas. En tercero aprendió a anotar en notación algebraica, a dar mate con dama y con torre, a reconocer las tablas y a no caer en el mate del pastor. Lo que todavía no tiene es un método para ver lo que pasa en el tablero antes de mover: deja piezas sin defender, no ve el tenedor del caballo que le viene encima y juega rápido sin mirar el reloj, porque nunca lo ha usado. Este año arranca justamente ahí, con un repaso corto de reglas y planilla y con la entrada del reloj de ajedrez, que acompañará todas las partidas del curso.</w:t>
      </w:r>
    </w:p>
    <w:p>
      <w:pPr>
        <w:jc w:val="both"/>
      </w:pPr>
      <w:r>
        <w:t>El centro del año es la táctica elemental, siguiendo las unidades 6 y 7 de «Ajedrez en el aula 3» y los ejemplos del «Manual 2» de Guil Russek: piezas indefensas, ataque doble, clavada, enfilada, ataque a la descubierta, jaque a la descubierta y jaque doble. Cada tema se trabaja en tres capas: primero se descubre en el tablero mural con una partida real (Anderssen contra Mayet, Berlín 1862; Greco contra un aficionado, Italia 1620; Krilov contra Tarasov, Leningrado 1961), luego se practica con hojas de ejercicios graduadas y minijuegos en parejas, y al final se busca dentro de partidas con consigna, anotadas y con reloj. En el II semestre se suman los finales de rey y peón (la regla del cuadrado, las cuatro posiciones básicas del «Manual 3» y la oposición), que se aprenden jugando en parejas una y otra vez, y una apertura abierta, la Italiana, que cierra el año con un torneo de aula.</w:t>
      </w:r>
    </w:p>
    <w:p>
      <w:pPr>
        <w:jc w:val="both"/>
      </w:pPr>
      <w:r>
        <w:t>Al terminar cuarto año la persona estudiante revisa qué piezas cuelgan antes de mover, encuentra ataques dobles y clavadas sencillas en sus partidas, sabe cuándo un rey alcanza a un peón y juega con reloj y planilla sin ayuda. En quinto año todo esto se amplía con la desviación, la atracción, la eliminación de la defensa, los mates con nombre y los finales de peones con peón pasado y rupturas, de modo que este año deja el vocabulario táctico y el hábito de las preguntas de control bien instalados.</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cuarto año</w:t>
      </w:r>
    </w:p>
    <w:p>
      <w:r>
        <w:rPr>
          <w:b/>
        </w:rPr>
        <w:t>Conocimientos que se esperan al iniciar el año:</w:t>
      </w:r>
    </w:p>
    <w:p>
      <w:pPr>
        <w:pStyle w:val="ListBullet"/>
      </w:pPr>
      <w:r>
        <w:t>Mueve y captura con todas las piezas, incluidos el enroque, la captura al paso y la coronación.</w:t>
      </w:r>
    </w:p>
    <w:p>
      <w:pPr>
        <w:pStyle w:val="ListBullet"/>
      </w:pPr>
      <w:r>
        <w:t>Reconoce el jaque, el jaque mate y las tablas por ahogado, repetición y jaque perpetuo.</w:t>
      </w:r>
    </w:p>
    <w:p>
      <w:pPr>
        <w:pStyle w:val="ListBullet"/>
      </w:pPr>
      <w:r>
        <w:t>Lee y escribe jugadas en notación algebraica con las iniciales R, D, T, A y C.</w:t>
      </w:r>
    </w:p>
    <w:p>
      <w:pPr>
        <w:pStyle w:val="ListBullet"/>
      </w:pPr>
      <w:r>
        <w:t>Da mate con dama y rey contra rey, y con torre y rey contra rey, al menos con ayuda.</w:t>
      </w:r>
    </w:p>
    <w:p>
      <w:pPr>
        <w:pStyle w:val="ListBullet"/>
      </w:pPr>
      <w:r>
        <w:t>Conoce las reglas de oro de la apertura y cómo defenderse del mate del pastor.</w:t>
      </w:r>
    </w:p>
    <w:p>
      <w:r>
        <w:rPr>
          <w:b/>
        </w:rPr>
        <w:t>Al finalizar el año, la persona estudiante:</w:t>
      </w:r>
    </w:p>
    <w:p>
      <w:pPr>
        <w:pStyle w:val="ListBullet"/>
      </w:pPr>
      <w:r>
        <w:t>Aplica las reglas del juego según las Leyes del Ajedrez de la FIDE, incluidos los movimientos especiales y los distintos tipos de tablas.</w:t>
      </w:r>
    </w:p>
    <w:p>
      <w:pPr>
        <w:pStyle w:val="ListBullet"/>
      </w:pPr>
      <w:r>
        <w:t>Anota una partida completa en la planilla con notación algebraica y la reproduce desde una planilla ajena.</w:t>
      </w:r>
    </w:p>
    <w:p>
      <w:pPr>
        <w:pStyle w:val="ListBullet"/>
      </w:pPr>
      <w:r>
        <w:t>Juega con reloj de ajedrez, lo pone en marcha, lo aprieta con la mano que mueve y reparte su tiempo durante la partida.</w:t>
      </w:r>
    </w:p>
    <w:p>
      <w:pPr>
        <w:pStyle w:val="ListBullet"/>
      </w:pPr>
      <w:r>
        <w:t>Cuenta atacantes y defensores para decidir si una pieza está indefensa y la protege o la aprovecha.</w:t>
      </w:r>
    </w:p>
    <w:p>
      <w:pPr>
        <w:pStyle w:val="ListBullet"/>
      </w:pPr>
      <w:r>
        <w:t>Reconoce y ejecuta el ataque doble con cada pieza, la clavada, la enfilada, el ataque a la descubierta y el jaque doble en ejercicios graduados y en sus partidas.</w:t>
      </w:r>
    </w:p>
    <w:p>
      <w:pPr>
        <w:pStyle w:val="ListBullet"/>
      </w:pPr>
      <w:r>
        <w:t>Usa la regla del cuadrado y la oposición para jugar finales de rey y peón contra rey.</w:t>
      </w:r>
    </w:p>
    <w:p>
      <w:pPr>
        <w:pStyle w:val="ListBullet"/>
      </w:pPr>
      <w:r>
        <w:t>Juega las primeras jugadas de la Italiana explicando para qué sirve cada una y evita la celada de 3...Cd4.</w:t>
      </w:r>
    </w:p>
    <w:p>
      <w:pPr>
        <w:pStyle w:val="ListBullet"/>
      </w:pPr>
      <w:r>
        <w:t>Participa en un torneo de aula con juego limpio: saluda, respeta la pieza tocada, acepta los resultados y ayuda en el arbitraje.</w:t>
      </w:r>
    </w:p>
    <w:p>
      <w:pPr>
        <w:pStyle w:val="Heading1"/>
      </w:pPr>
      <w:r>
        <w:t>7. Orientaciones metodológicas</w:t>
      </w:r>
    </w:p>
    <w:p>
      <w:pPr>
        <w:jc w:val="both"/>
      </w:pPr>
      <w:r>
        <w:t>En el II Ciclo el grupo ya juega partidas completas. Se introduce la planilla y el reloj, y se pasa de conocer reglas a resolver problemas: la táctica se trabaja con hojas de ejercicios graduadas, siempre comprobando en el tablero.</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45 %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35 %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Repaso de reglas y notación; el reloj de ajedrez</w:t>
            </w:r>
          </w:p>
        </w:tc>
        <w:tc>
          <w:tcPr>
            <w:tcW w:type="dxa" w:w="1134"/>
          </w:tcPr>
          <w:p>
            <w:pPr>
              <w:pStyle w:val="Celda9RXS"/>
            </w:pPr>
            <w:r/>
            <w:r>
              <w:t>I</w:t>
            </w:r>
          </w:p>
        </w:tc>
        <w:tc>
          <w:tcPr>
            <w:tcW w:type="dxa" w:w="1361"/>
          </w:tcPr>
          <w:p>
            <w:pPr>
              <w:pStyle w:val="Celda9RXS"/>
            </w:pPr>
            <w:r/>
            <w:r>
              <w:t>1 a 30</w:t>
            </w:r>
          </w:p>
        </w:tc>
        <w:tc>
          <w:tcPr>
            <w:tcW w:type="dxa" w:w="1361"/>
          </w:tcPr>
          <w:p>
            <w:pPr>
              <w:pStyle w:val="Celda9RXS"/>
            </w:pPr>
            <w:r/>
            <w:r>
              <w:t>1 a 6</w:t>
            </w:r>
          </w:p>
        </w:tc>
        <w:tc>
          <w:tcPr>
            <w:tcW w:type="dxa" w:w="1247"/>
          </w:tcPr>
          <w:p>
            <w:pPr>
              <w:pStyle w:val="Celda9RXS"/>
            </w:pPr>
            <w:r/>
            <w:r>
              <w:t>30</w:t>
            </w:r>
          </w:p>
        </w:tc>
      </w:tr>
      <w:tr>
        <w:tc>
          <w:tcPr>
            <w:tcW w:type="dxa" w:w="4535"/>
          </w:tcPr>
          <w:p>
            <w:pPr>
              <w:pStyle w:val="Celda9RXS"/>
            </w:pPr>
            <w:r/>
            <w:r>
              <w:t>2. Piezas indefensas y el ataque doble</w:t>
            </w:r>
          </w:p>
        </w:tc>
        <w:tc>
          <w:tcPr>
            <w:tcW w:type="dxa" w:w="1134"/>
          </w:tcPr>
          <w:p>
            <w:pPr>
              <w:pStyle w:val="Celda9RXS"/>
            </w:pPr>
            <w:r/>
            <w:r>
              <w:t>I</w:t>
            </w:r>
          </w:p>
        </w:tc>
        <w:tc>
          <w:tcPr>
            <w:tcW w:type="dxa" w:w="1361"/>
          </w:tcPr>
          <w:p>
            <w:pPr>
              <w:pStyle w:val="Celda9RXS"/>
            </w:pPr>
            <w:r/>
            <w:r>
              <w:t>31 a 65</w:t>
            </w:r>
          </w:p>
        </w:tc>
        <w:tc>
          <w:tcPr>
            <w:tcW w:type="dxa" w:w="1361"/>
          </w:tcPr>
          <w:p>
            <w:pPr>
              <w:pStyle w:val="Celda9RXS"/>
            </w:pPr>
            <w:r/>
            <w:r>
              <w:t>7 a 13</w:t>
            </w:r>
          </w:p>
        </w:tc>
        <w:tc>
          <w:tcPr>
            <w:tcW w:type="dxa" w:w="1247"/>
          </w:tcPr>
          <w:p>
            <w:pPr>
              <w:pStyle w:val="Celda9RXS"/>
            </w:pPr>
            <w:r/>
            <w:r>
              <w:t>35</w:t>
            </w:r>
          </w:p>
        </w:tc>
      </w:tr>
      <w:tr>
        <w:tc>
          <w:tcPr>
            <w:tcW w:type="dxa" w:w="4535"/>
          </w:tcPr>
          <w:p>
            <w:pPr>
              <w:pStyle w:val="Celda9RXS"/>
            </w:pPr>
            <w:r/>
            <w:r>
              <w:t>3. La clavada y la enfilada</w:t>
            </w:r>
          </w:p>
        </w:tc>
        <w:tc>
          <w:tcPr>
            <w:tcW w:type="dxa" w:w="1134"/>
          </w:tcPr>
          <w:p>
            <w:pPr>
              <w:pStyle w:val="Celda9RXS"/>
            </w:pPr>
            <w:r/>
            <w:r>
              <w:t>I</w:t>
            </w:r>
          </w:p>
        </w:tc>
        <w:tc>
          <w:tcPr>
            <w:tcW w:type="dxa" w:w="1361"/>
          </w:tcPr>
          <w:p>
            <w:pPr>
              <w:pStyle w:val="Celda9RXS"/>
            </w:pPr>
            <w:r/>
            <w:r>
              <w:t>66 a 100</w:t>
            </w:r>
          </w:p>
        </w:tc>
        <w:tc>
          <w:tcPr>
            <w:tcW w:type="dxa" w:w="1361"/>
          </w:tcPr>
          <w:p>
            <w:pPr>
              <w:pStyle w:val="Celda9RXS"/>
            </w:pPr>
            <w:r/>
            <w:r>
              <w:t>14 a 20</w:t>
            </w:r>
          </w:p>
        </w:tc>
        <w:tc>
          <w:tcPr>
            <w:tcW w:type="dxa" w:w="1247"/>
          </w:tcPr>
          <w:p>
            <w:pPr>
              <w:pStyle w:val="Celda9RXS"/>
            </w:pPr>
            <w:r/>
            <w:r>
              <w:t>35</w:t>
            </w:r>
          </w:p>
        </w:tc>
      </w:tr>
      <w:tr>
        <w:tc>
          <w:tcPr>
            <w:tcW w:type="dxa" w:w="4535"/>
          </w:tcPr>
          <w:p>
            <w:pPr>
              <w:pStyle w:val="Celda9RXS"/>
            </w:pPr>
            <w:r/>
            <w:r>
              <w:t>4. Ataque a la descubierta, jaque a la descubierta y jaque doble</w:t>
            </w:r>
          </w:p>
        </w:tc>
        <w:tc>
          <w:tcPr>
            <w:tcW w:type="dxa" w:w="1134"/>
          </w:tcPr>
          <w:p>
            <w:pPr>
              <w:pStyle w:val="Celda9RXS"/>
            </w:pPr>
            <w:r/>
            <w:r>
              <w:t>II</w:t>
            </w:r>
          </w:p>
        </w:tc>
        <w:tc>
          <w:tcPr>
            <w:tcW w:type="dxa" w:w="1361"/>
          </w:tcPr>
          <w:p>
            <w:pPr>
              <w:pStyle w:val="Celda9RXS"/>
            </w:pPr>
            <w:r/>
            <w:r>
              <w:t>101 a 133</w:t>
            </w:r>
          </w:p>
        </w:tc>
        <w:tc>
          <w:tcPr>
            <w:tcW w:type="dxa" w:w="1361"/>
          </w:tcPr>
          <w:p>
            <w:pPr>
              <w:pStyle w:val="Celda9RXS"/>
            </w:pPr>
            <w:r/>
            <w:r>
              <w:t>21 a 27</w:t>
            </w:r>
          </w:p>
        </w:tc>
        <w:tc>
          <w:tcPr>
            <w:tcW w:type="dxa" w:w="1247"/>
          </w:tcPr>
          <w:p>
            <w:pPr>
              <w:pStyle w:val="Celda9RXS"/>
            </w:pPr>
            <w:r/>
            <w:r>
              <w:t>33</w:t>
            </w:r>
          </w:p>
        </w:tc>
      </w:tr>
      <w:tr>
        <w:tc>
          <w:tcPr>
            <w:tcW w:type="dxa" w:w="4535"/>
          </w:tcPr>
          <w:p>
            <w:pPr>
              <w:pStyle w:val="Celda9RXS"/>
            </w:pPr>
            <w:r/>
            <w:r>
              <w:t>5. Finales de peones: regla del cuadrado, rey y peón contra rey y la oposición</w:t>
            </w:r>
          </w:p>
        </w:tc>
        <w:tc>
          <w:tcPr>
            <w:tcW w:type="dxa" w:w="1134"/>
          </w:tcPr>
          <w:p>
            <w:pPr>
              <w:pStyle w:val="Celda9RXS"/>
            </w:pPr>
            <w:r/>
            <w:r>
              <w:t>II</w:t>
            </w:r>
          </w:p>
        </w:tc>
        <w:tc>
          <w:tcPr>
            <w:tcW w:type="dxa" w:w="1361"/>
          </w:tcPr>
          <w:p>
            <w:pPr>
              <w:pStyle w:val="Celda9RXS"/>
            </w:pPr>
            <w:r/>
            <w:r>
              <w:t>134 a 168</w:t>
            </w:r>
          </w:p>
        </w:tc>
        <w:tc>
          <w:tcPr>
            <w:tcW w:type="dxa" w:w="1361"/>
          </w:tcPr>
          <w:p>
            <w:pPr>
              <w:pStyle w:val="Celda9RXS"/>
            </w:pPr>
            <w:r/>
            <w:r>
              <w:t>27 a 34</w:t>
            </w:r>
          </w:p>
        </w:tc>
        <w:tc>
          <w:tcPr>
            <w:tcW w:type="dxa" w:w="1247"/>
          </w:tcPr>
          <w:p>
            <w:pPr>
              <w:pStyle w:val="Celda9RXS"/>
            </w:pPr>
            <w:r/>
            <w:r>
              <w:t>35</w:t>
            </w:r>
          </w:p>
        </w:tc>
      </w:tr>
      <w:tr>
        <w:tc>
          <w:tcPr>
            <w:tcW w:type="dxa" w:w="4535"/>
          </w:tcPr>
          <w:p>
            <w:pPr>
              <w:pStyle w:val="Celda9RXS"/>
            </w:pPr>
            <w:r/>
            <w:r>
              <w:t>6. Una apertura abierta: la Italiana; torneo de aula</w:t>
            </w:r>
          </w:p>
        </w:tc>
        <w:tc>
          <w:tcPr>
            <w:tcW w:type="dxa" w:w="1134"/>
          </w:tcPr>
          <w:p>
            <w:pPr>
              <w:pStyle w:val="Celda9RXS"/>
            </w:pPr>
            <w:r/>
            <w:r>
              <w:t>II</w:t>
            </w:r>
          </w:p>
        </w:tc>
        <w:tc>
          <w:tcPr>
            <w:tcW w:type="dxa" w:w="1361"/>
          </w:tcPr>
          <w:p>
            <w:pPr>
              <w:pStyle w:val="Celda9RXS"/>
            </w:pPr>
            <w:r/>
            <w:r>
              <w:t>169 a 200</w:t>
            </w:r>
          </w:p>
        </w:tc>
        <w:tc>
          <w:tcPr>
            <w:tcW w:type="dxa" w:w="1361"/>
          </w:tcPr>
          <w:p>
            <w:pPr>
              <w:pStyle w:val="Celda9RXS"/>
            </w:pPr>
            <w:r/>
            <w:r>
              <w:t>34 a 40</w:t>
            </w:r>
          </w:p>
        </w:tc>
        <w:tc>
          <w:tcPr>
            <w:tcW w:type="dxa" w:w="1247"/>
          </w:tcPr>
          <w:p>
            <w:pPr>
              <w:pStyle w:val="Celda9RXS"/>
            </w:pPr>
            <w:r/>
            <w:r>
              <w:t>32</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Cuarto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Cuarto año</dc:title>
  <dc:subject>Programa de estudio de Ajedrez, Cuarto año, II Ciclo de la Educación General Básica</dc:subject>
  <dc:creator>Oscar Angulo Cubero</dc:creator>
  <cp:keywords>ajedrez; programa de estudio; cuarto año; 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