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Undécimo año</w:t>
      </w:r>
    </w:p>
    <w:p>
      <w:pPr>
        <w:spacing w:after="80"/>
        <w:jc w:val="center"/>
      </w:pPr>
      <w:r>
        <w:rPr>
          <w:sz w:val="26"/>
        </w:rPr>
        <w:t>Educación Diversificada</w:t>
      </w:r>
    </w:p>
    <w:p>
      <w:pPr>
        <w:spacing w:after="1200"/>
        <w:jc w:val="center"/>
      </w:pPr>
      <w:r>
        <w:rPr>
          <w:color w:val="555555"/>
          <w:sz w:val="22"/>
        </w:rPr>
        <w:t>Edad de referencia: 16 a 17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undécimo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undécimo año de la Educación Diversificada.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undécimo año</w:t>
      </w:r>
    </w:p>
    <w:p>
      <w:pPr>
        <w:jc w:val="both"/>
      </w:pPr>
      <w:r>
        <w:t>Undécimo año es el último del colegio y el programa lo trata como tal: la persona estudiante ya conoce la táctica, la estrategia, los finales y el reglamento, y ahora tiene que hacerse cargo de su propio aprendizaje. El curso no suma temas nuevos por sumar; pide decidir con argumentos. Cada estudiante construye un repertorio de aperturas que pueda defender, analiza con espíritu crítico partidas de campeones mundiales del Manual 4 de Guil Russek (Karpov, Kasparov, Anand, Kramnik, Topalov y Carlsen) y resuelve los ejercicios del Manual 5 que salieron de esas mismas partidas.</w:t>
      </w:r>
    </w:p>
    <w:p>
      <w:pPr>
        <w:jc w:val="both"/>
      </w:pPr>
      <w:r>
        <w:t>Viene de décimo año, donde trabajó la iniciativa, el sacrificio posicional, la profilaxis, los estudios artísticos y la relación del ajedrez con la matemática, y donde escribió un boletín con partidas comentadas. Quien llega sin esa base sigue una ruta corta de nivelación dentro de la unidad 1, con apoyo de compañeros que hacen de monitores. En el I semestre el foco está en el propio juego: repertorio, análisis y el manejo del tiempo, las emociones y la salud en la competencia.</w:t>
      </w:r>
    </w:p>
    <w:p>
      <w:pPr>
        <w:jc w:val="both"/>
      </w:pPr>
      <w:r>
        <w:t>En el II semestre el estudiantado mira hacia afuera. Prepara y da lecciones cortas a niñas y niños de una escuela cercana, aprende a arbitrar con las Leyes del Ajedrez de la FIDE, conoce cómo se organiza el ajedrez federado en Costa Rica y los Juegos Deportivos Nacionales, y cierra el colegio organizando un festival o torneo comunal. El portafolio de egreso reúne la evidencia de su recorrido y responde una pregunta que vale para después del colegio: qué lugar va a tener el ajedrez en su vida.</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undécimo año</w:t>
      </w:r>
    </w:p>
    <w:p>
      <w:r>
        <w:rPr>
          <w:b/>
        </w:rPr>
        <w:t>Conocimientos que se esperan al iniciar el año:</w:t>
      </w:r>
    </w:p>
    <w:p>
      <w:pPr>
        <w:pStyle w:val="ListBullet"/>
      </w:pPr>
      <w:r>
        <w:t>Juega partidas completas con reloj y planilla, y aplica las reglas de tablas, el enroque, la captura al paso y la coronación.</w:t>
      </w:r>
    </w:p>
    <w:p>
      <w:pPr>
        <w:pStyle w:val="ListBullet"/>
      </w:pPr>
      <w:r>
        <w:t>Reconoce los temas combinativos (ataque doble, clavada, desviación, atracción, descubierta, destrucción de la defensa, despeje) y calcula variantes cortas.</w:t>
      </w:r>
    </w:p>
    <w:p>
      <w:pPr>
        <w:pStyle w:val="ListBullet"/>
      </w:pPr>
      <w:r>
        <w:t>Evalúa una posición con los factores de Steinitz y distingue ventajas temporales y permanentes, la iniciativa y la profilaxis.</w:t>
      </w:r>
    </w:p>
    <w:p>
      <w:pPr>
        <w:pStyle w:val="ListBullet"/>
      </w:pPr>
      <w:r>
        <w:t>Conoce las ideas de la Italiana, la Española, la Siciliana, la Francesa, la Caro-Kann y el Gambito de Dama.</w:t>
      </w:r>
    </w:p>
    <w:p>
      <w:pPr>
        <w:pStyle w:val="ListBullet"/>
      </w:pPr>
      <w:r>
        <w:t>Domina la oposición, la regla del cuadrado y las posiciones de Lucena y Philidor.</w:t>
      </w:r>
    </w:p>
    <w:p>
      <w:pPr>
        <w:pStyle w:val="ListBullet"/>
      </w:pPr>
      <w:r>
        <w:t>Ha usado bases de datos y motores de análisis y conoce el sistema suizo y el todos contra todos.</w:t>
      </w:r>
    </w:p>
    <w:p>
      <w:r>
        <w:rPr>
          <w:b/>
        </w:rPr>
        <w:t>Al finalizar el año, la persona estudiante:</w:t>
      </w:r>
    </w:p>
    <w:p>
      <w:pPr>
        <w:pStyle w:val="ListBullet"/>
      </w:pPr>
      <w:r>
        <w:t>Defiende con argumentos un repertorio propio de aperturas con blancas y con negras, ligado a sus planes de medio juego.</w:t>
      </w:r>
    </w:p>
    <w:p>
      <w:pPr>
        <w:pStyle w:val="ListBullet"/>
      </w:pPr>
      <w:r>
        <w:t>Analiza críticamente una partida de un campeón mundial, separa los momentos críticos de las jugadas de rutina y compara su valoración con la de la fuente y la del motor.</w:t>
      </w:r>
    </w:p>
    <w:p>
      <w:pPr>
        <w:pStyle w:val="ListBullet"/>
      </w:pPr>
      <w:r>
        <w:t>Redacta y expone comentarios de partidas con una tesis clara, variantes que la sostienen y una conclusión.</w:t>
      </w:r>
    </w:p>
    <w:p>
      <w:pPr>
        <w:pStyle w:val="ListBullet"/>
      </w:pPr>
      <w:r>
        <w:t>Administra su tiempo de reflexión con reloj y aplica técnicas concretas para regular la ansiedad, la frustración y el exceso de confianza.</w:t>
      </w:r>
    </w:p>
    <w:p>
      <w:pPr>
        <w:pStyle w:val="ListBullet"/>
      </w:pPr>
      <w:r>
        <w:t>Cuida su sueño, su alimentación, su actividad física y su uso de pantallas como parte de su preparación.</w:t>
      </w:r>
    </w:p>
    <w:p>
      <w:pPr>
        <w:pStyle w:val="ListBullet"/>
      </w:pPr>
      <w:r>
        <w:t>Planifica y da una lección corta de ajedrez a niñas y niños de primaria con los cuatro momentos de la mediación pedagógica.</w:t>
      </w:r>
    </w:p>
    <w:p>
      <w:pPr>
        <w:pStyle w:val="ListBullet"/>
      </w:pPr>
      <w:r>
        <w:t>Resuelve situaciones de arbitraje con las Leyes del Ajedrez de la FIDE y explica cómo funcionan la Federación Costarricense de Ajedrez de Costa Rica y los Juegos Deportivos Nacionales.</w:t>
      </w:r>
    </w:p>
    <w:p>
      <w:pPr>
        <w:pStyle w:val="ListBullet"/>
      </w:pPr>
      <w:r>
        <w:t>Organiza en equipo un evento comunal de ajedrez, con reglamento, presupuesto, plan de contingencia y rendición de cuentas.</w:t>
      </w:r>
    </w:p>
    <w:p>
      <w:pPr>
        <w:pStyle w:val="ListBullet"/>
      </w:pPr>
      <w:r>
        <w:t>Presenta un portafolio de egreso que valora su recorrido y plantea metas propias para después del colegio.</w:t>
      </w:r>
    </w:p>
    <w:p>
      <w:pPr>
        <w:pStyle w:val="Heading1"/>
      </w:pPr>
      <w:r>
        <w:t>7. Orientaciones metodológicas</w:t>
      </w:r>
    </w:p>
    <w:p>
      <w:pPr>
        <w:jc w:val="both"/>
      </w:pPr>
      <w:r>
        <w:t>En la Educación Diversificada el estudiantado asume tareas de mayor autonomía: prepara análisis, presenta partidas al grupo, usa programas de análisis con criterio, organiza eventos y enseña a estudiantes más pequeños. Se cuida que el uso del motor de análisis no reemplace el pensamiento propio: primero se analiza sin ayuda y luego se contrasta.</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30 %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25 %</w:t>
            </w:r>
          </w:p>
        </w:tc>
      </w:tr>
      <w:tr>
        <w:tc>
          <w:tcPr>
            <w:tcW w:type="dxa" w:w="4535"/>
          </w:tcPr>
          <w:p>
            <w:pPr>
              <w:pStyle w:val="Celda9RXS"/>
            </w:pPr>
            <w:r/>
            <w:r>
              <w:t>Proyecto</w:t>
            </w:r>
          </w:p>
        </w:tc>
        <w:tc>
          <w:tcPr>
            <w:tcW w:type="dxa" w:w="2268"/>
          </w:tcPr>
          <w:p>
            <w:pPr>
              <w:pStyle w:val="Celda9RXS"/>
            </w:pPr>
            <w:r/>
            <w:r>
              <w:t>25 %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Construir un repertorio propio</w:t>
            </w:r>
          </w:p>
        </w:tc>
        <w:tc>
          <w:tcPr>
            <w:tcW w:type="dxa" w:w="1134"/>
          </w:tcPr>
          <w:p>
            <w:pPr>
              <w:pStyle w:val="Celda9RXS"/>
            </w:pPr>
            <w:r/>
            <w:r>
              <w:t>I</w:t>
            </w:r>
          </w:p>
        </w:tc>
        <w:tc>
          <w:tcPr>
            <w:tcW w:type="dxa" w:w="1361"/>
          </w:tcPr>
          <w:p>
            <w:pPr>
              <w:pStyle w:val="Celda9RXS"/>
            </w:pPr>
            <w:r/>
            <w:r>
              <w:t>1 a 34</w:t>
            </w:r>
          </w:p>
        </w:tc>
        <w:tc>
          <w:tcPr>
            <w:tcW w:type="dxa" w:w="1361"/>
          </w:tcPr>
          <w:p>
            <w:pPr>
              <w:pStyle w:val="Celda9RXS"/>
            </w:pPr>
            <w:r/>
            <w:r>
              <w:t>1 a 7</w:t>
            </w:r>
          </w:p>
        </w:tc>
        <w:tc>
          <w:tcPr>
            <w:tcW w:type="dxa" w:w="1247"/>
          </w:tcPr>
          <w:p>
            <w:pPr>
              <w:pStyle w:val="Celda9RXS"/>
            </w:pPr>
            <w:r/>
            <w:r>
              <w:t>34</w:t>
            </w:r>
          </w:p>
        </w:tc>
      </w:tr>
      <w:tr>
        <w:tc>
          <w:tcPr>
            <w:tcW w:type="dxa" w:w="4535"/>
          </w:tcPr>
          <w:p>
            <w:pPr>
              <w:pStyle w:val="Celda9RXS"/>
            </w:pPr>
            <w:r/>
            <w:r>
              <w:t>2. Análisis crítico de partidas de campeones</w:t>
            </w:r>
          </w:p>
        </w:tc>
        <w:tc>
          <w:tcPr>
            <w:tcW w:type="dxa" w:w="1134"/>
          </w:tcPr>
          <w:p>
            <w:pPr>
              <w:pStyle w:val="Celda9RXS"/>
            </w:pPr>
            <w:r/>
            <w:r>
              <w:t>I</w:t>
            </w:r>
          </w:p>
        </w:tc>
        <w:tc>
          <w:tcPr>
            <w:tcW w:type="dxa" w:w="1361"/>
          </w:tcPr>
          <w:p>
            <w:pPr>
              <w:pStyle w:val="Celda9RXS"/>
            </w:pPr>
            <w:r/>
            <w:r>
              <w:t>35 a 67</w:t>
            </w:r>
          </w:p>
        </w:tc>
        <w:tc>
          <w:tcPr>
            <w:tcW w:type="dxa" w:w="1361"/>
          </w:tcPr>
          <w:p>
            <w:pPr>
              <w:pStyle w:val="Celda9RXS"/>
            </w:pPr>
            <w:r/>
            <w:r>
              <w:t>7 a 14</w:t>
            </w:r>
          </w:p>
        </w:tc>
        <w:tc>
          <w:tcPr>
            <w:tcW w:type="dxa" w:w="1247"/>
          </w:tcPr>
          <w:p>
            <w:pPr>
              <w:pStyle w:val="Celda9RXS"/>
            </w:pPr>
            <w:r/>
            <w:r>
              <w:t>33</w:t>
            </w:r>
          </w:p>
        </w:tc>
      </w:tr>
      <w:tr>
        <w:tc>
          <w:tcPr>
            <w:tcW w:type="dxa" w:w="4535"/>
          </w:tcPr>
          <w:p>
            <w:pPr>
              <w:pStyle w:val="Celda9RXS"/>
            </w:pPr>
            <w:r/>
            <w:r>
              <w:t>3. Psicología competitiva, manejo del tiempo y salud del jugador</w:t>
            </w:r>
          </w:p>
        </w:tc>
        <w:tc>
          <w:tcPr>
            <w:tcW w:type="dxa" w:w="1134"/>
          </w:tcPr>
          <w:p>
            <w:pPr>
              <w:pStyle w:val="Celda9RXS"/>
            </w:pPr>
            <w:r/>
            <w:r>
              <w:t>I</w:t>
            </w:r>
          </w:p>
        </w:tc>
        <w:tc>
          <w:tcPr>
            <w:tcW w:type="dxa" w:w="1361"/>
          </w:tcPr>
          <w:p>
            <w:pPr>
              <w:pStyle w:val="Celda9RXS"/>
            </w:pPr>
            <w:r/>
            <w:r>
              <w:t>68 a 100</w:t>
            </w:r>
          </w:p>
        </w:tc>
        <w:tc>
          <w:tcPr>
            <w:tcW w:type="dxa" w:w="1361"/>
          </w:tcPr>
          <w:p>
            <w:pPr>
              <w:pStyle w:val="Celda9RXS"/>
            </w:pPr>
            <w:r/>
            <w:r>
              <w:t>14 a 20</w:t>
            </w:r>
          </w:p>
        </w:tc>
        <w:tc>
          <w:tcPr>
            <w:tcW w:type="dxa" w:w="1247"/>
          </w:tcPr>
          <w:p>
            <w:pPr>
              <w:pStyle w:val="Celda9RXS"/>
            </w:pPr>
            <w:r/>
            <w:r>
              <w:t>33</w:t>
            </w:r>
          </w:p>
        </w:tc>
      </w:tr>
      <w:tr>
        <w:tc>
          <w:tcPr>
            <w:tcW w:type="dxa" w:w="4535"/>
          </w:tcPr>
          <w:p>
            <w:pPr>
              <w:pStyle w:val="Celda9RXS"/>
            </w:pPr>
            <w:r/>
            <w:r>
              <w:t>4. Enseñar ajedrez: tutoría a estudiantes de primaria</w:t>
            </w:r>
          </w:p>
        </w:tc>
        <w:tc>
          <w:tcPr>
            <w:tcW w:type="dxa" w:w="1134"/>
          </w:tcPr>
          <w:p>
            <w:pPr>
              <w:pStyle w:val="Celda9RXS"/>
            </w:pPr>
            <w:r/>
            <w:r>
              <w:t>II</w:t>
            </w:r>
          </w:p>
        </w:tc>
        <w:tc>
          <w:tcPr>
            <w:tcW w:type="dxa" w:w="1361"/>
          </w:tcPr>
          <w:p>
            <w:pPr>
              <w:pStyle w:val="Celda9RXS"/>
            </w:pPr>
            <w:r/>
            <w:r>
              <w:t>101 a 135</w:t>
            </w:r>
          </w:p>
        </w:tc>
        <w:tc>
          <w:tcPr>
            <w:tcW w:type="dxa" w:w="1361"/>
          </w:tcPr>
          <w:p>
            <w:pPr>
              <w:pStyle w:val="Celda9RXS"/>
            </w:pPr>
            <w:r/>
            <w:r>
              <w:t>21 a 27</w:t>
            </w:r>
          </w:p>
        </w:tc>
        <w:tc>
          <w:tcPr>
            <w:tcW w:type="dxa" w:w="1247"/>
          </w:tcPr>
          <w:p>
            <w:pPr>
              <w:pStyle w:val="Celda9RXS"/>
            </w:pPr>
            <w:r/>
            <w:r>
              <w:t>35</w:t>
            </w:r>
          </w:p>
        </w:tc>
      </w:tr>
      <w:tr>
        <w:tc>
          <w:tcPr>
            <w:tcW w:type="dxa" w:w="4535"/>
          </w:tcPr>
          <w:p>
            <w:pPr>
              <w:pStyle w:val="Celda9RXS"/>
            </w:pPr>
            <w:r/>
            <w:r>
              <w:t>5. Ajedrez, ciudadanía y carrera</w:t>
            </w:r>
          </w:p>
        </w:tc>
        <w:tc>
          <w:tcPr>
            <w:tcW w:type="dxa" w:w="1134"/>
          </w:tcPr>
          <w:p>
            <w:pPr>
              <w:pStyle w:val="Celda9RXS"/>
            </w:pPr>
            <w:r/>
            <w:r>
              <w:t>II</w:t>
            </w:r>
          </w:p>
        </w:tc>
        <w:tc>
          <w:tcPr>
            <w:tcW w:type="dxa" w:w="1361"/>
          </w:tcPr>
          <w:p>
            <w:pPr>
              <w:pStyle w:val="Celda9RXS"/>
            </w:pPr>
            <w:r/>
            <w:r>
              <w:t>136 a 168</w:t>
            </w:r>
          </w:p>
        </w:tc>
        <w:tc>
          <w:tcPr>
            <w:tcW w:type="dxa" w:w="1361"/>
          </w:tcPr>
          <w:p>
            <w:pPr>
              <w:pStyle w:val="Celda9RXS"/>
            </w:pPr>
            <w:r/>
            <w:r>
              <w:t>28 a 34</w:t>
            </w:r>
          </w:p>
        </w:tc>
        <w:tc>
          <w:tcPr>
            <w:tcW w:type="dxa" w:w="1247"/>
          </w:tcPr>
          <w:p>
            <w:pPr>
              <w:pStyle w:val="Celda9RXS"/>
            </w:pPr>
            <w:r/>
            <w:r>
              <w:t>33</w:t>
            </w:r>
          </w:p>
        </w:tc>
      </w:tr>
      <w:tr>
        <w:tc>
          <w:tcPr>
            <w:tcW w:type="dxa" w:w="4535"/>
          </w:tcPr>
          <w:p>
            <w:pPr>
              <w:pStyle w:val="Celda9RXS"/>
            </w:pPr>
            <w:r/>
            <w:r>
              <w:t>6. Proyecto final: festival o torneo comunal y portafolio de egreso</w:t>
            </w:r>
          </w:p>
        </w:tc>
        <w:tc>
          <w:tcPr>
            <w:tcW w:type="dxa" w:w="1134"/>
          </w:tcPr>
          <w:p>
            <w:pPr>
              <w:pStyle w:val="Celda9RXS"/>
            </w:pPr>
            <w:r/>
            <w:r>
              <w:t>II</w:t>
            </w:r>
          </w:p>
        </w:tc>
        <w:tc>
          <w:tcPr>
            <w:tcW w:type="dxa" w:w="1361"/>
          </w:tcPr>
          <w:p>
            <w:pPr>
              <w:pStyle w:val="Celda9RXS"/>
            </w:pPr>
            <w:r/>
            <w:r>
              <w:t>169 a 200</w:t>
            </w:r>
          </w:p>
        </w:tc>
        <w:tc>
          <w:tcPr>
            <w:tcW w:type="dxa" w:w="1361"/>
          </w:tcPr>
          <w:p>
            <w:pPr>
              <w:pStyle w:val="Celda9RXS"/>
            </w:pPr>
            <w:r/>
            <w:r>
              <w:t>34 a 40</w:t>
            </w:r>
          </w:p>
        </w:tc>
        <w:tc>
          <w:tcPr>
            <w:tcW w:type="dxa" w:w="1247"/>
          </w:tcPr>
          <w:p>
            <w:pPr>
              <w:pStyle w:val="Celda9RXS"/>
            </w:pPr>
            <w:r/>
            <w:r>
              <w:t>32</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Undécimo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Undécimo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Undécimo año</dc:title>
  <dc:subject>Programa de estudio de Ajedrez, Undécimo año, Educación Diversificada</dc:subject>
  <dc:creator>Oscar Angulo Cubero</dc:creator>
  <cp:keywords>ajedrez; programa de estudio; undécimo año; Educación Diversificada;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