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1F3A5F"/>
          <w:sz w:val="48"/>
        </w:rPr>
        <w:t>PROGRAMA DE ESTUDIO DE AJEDREZ</w:t>
      </w:r>
    </w:p>
    <w:p>
      <w:pPr>
        <w:spacing w:after="600"/>
        <w:jc w:val="center"/>
      </w:pPr>
      <w:r>
        <w:rPr>
          <w:color w:val="555555"/>
          <w:sz w:val="28"/>
        </w:rPr>
        <w:t>Parte 1 de 2: Fundamentos y orientaciones</w:t>
      </w:r>
    </w:p>
    <w:p>
      <w:pPr>
        <w:spacing w:after="80"/>
        <w:jc w:val="center"/>
      </w:pPr>
      <w:r>
        <w:rPr>
          <w:b/>
          <w:color w:val="1F3A5F"/>
          <w:sz w:val="60"/>
        </w:rPr>
        <w:t>Primer año</w:t>
      </w:r>
    </w:p>
    <w:p>
      <w:pPr>
        <w:spacing w:after="80"/>
        <w:jc w:val="center"/>
      </w:pPr>
      <w:r>
        <w:rPr>
          <w:sz w:val="26"/>
        </w:rPr>
        <w:t>I Ciclo de la Educación General Básica</w:t>
      </w:r>
    </w:p>
    <w:p>
      <w:pPr>
        <w:spacing w:after="1200"/>
        <w:jc w:val="center"/>
      </w:pPr>
      <w:r>
        <w:rPr>
          <w:color w:val="555555"/>
          <w:sz w:val="22"/>
        </w:rPr>
        <w:t>Edad de referencia: 6 a 7 años</w:t>
      </w:r>
    </w:p>
    <w:p>
      <w:pPr>
        <w:spacing w:after="0"/>
        <w:jc w:val="center"/>
      </w:pPr>
      <w:r>
        <w:rPr>
          <w:color w:val="555555"/>
          <w:sz w:val="20"/>
        </w:rPr>
        <w:t>Autor</w:t>
      </w:r>
    </w:p>
    <w:p>
      <w:pPr>
        <w:spacing w:after="800"/>
        <w:jc w:val="center"/>
      </w:pPr>
      <w:r>
        <w:rPr>
          <w:b/>
          <w:sz w:val="32"/>
        </w:rPr>
        <w:t>Oscar Angulo Cubero</w:t>
      </w:r>
    </w:p>
    <w:p>
      <w:pPr>
        <w:spacing w:after="80"/>
        <w:jc w:val="center"/>
      </w:pPr>
      <w:r>
        <w:rPr>
          <w:sz w:val="22"/>
        </w:rPr>
        <w:t>Costa Rica, 2027</w:t>
      </w:r>
    </w:p>
    <w:p>
      <w:r>
        <w:br w:type="page"/>
      </w:r>
    </w:p>
    <w:p>
      <w:pPr>
        <w:jc w:val="center"/>
      </w:pPr>
      <w:r>
        <w:rPr>
          <w:i/>
          <w:color w:val="555555"/>
          <w:sz w:val="17"/>
        </w:rPr>
        <w:t>© 2027 Oscar Angulo Cubero. Todos los derechos reservados. Se permite su uso en el aula citando al autor. Prohibida su venta o reproducción con fines comerciales sin autorización escrita.</w:t>
      </w:r>
    </w:p>
    <w:p>
      <w:pPr>
        <w:pStyle w:val="Heading1"/>
      </w:pPr>
      <w:r>
        <w:t>Contenido</w:t>
      </w:r>
    </w:p>
    <w:p>
      <w:r>
        <w:rPr>
          <w:i/>
          <w:color w:val="555555"/>
          <w:sz w:val="19"/>
        </w:rPr>
        <w:t>El programa se presenta en dos archivos. La parte 1 contiene las secciones 1 a 9 y la parte 2, las secciones 10 a 14.</w:t>
      </w:r>
    </w:p>
    <w:p>
      <w:pPr>
        <w:spacing w:after="40"/>
      </w:pPr>
      <w:r>
        <w:rPr>
          <w:b/>
        </w:rPr>
        <w:t>1. Presentación   (parte 1)</w:t>
      </w:r>
    </w:p>
    <w:p>
      <w:pPr>
        <w:spacing w:after="40"/>
      </w:pPr>
      <w:r>
        <w:rPr>
          <w:b/>
        </w:rPr>
        <w:t>2. Fundamentación   (parte 1)</w:t>
      </w:r>
    </w:p>
    <w:p>
      <w:pPr>
        <w:spacing w:after="40"/>
      </w:pPr>
      <w:r>
        <w:rPr>
          <w:b/>
        </w:rPr>
        <w:t>3. Enfoque curricular y mediación pedagógica   (parte 1)</w:t>
      </w:r>
    </w:p>
    <w:p>
      <w:pPr>
        <w:spacing w:after="40"/>
      </w:pPr>
      <w:r>
        <w:rPr>
          <w:b/>
        </w:rPr>
        <w:t>4. Las habilidades y el ajedrez   (parte 1)</w:t>
      </w:r>
    </w:p>
    <w:p>
      <w:pPr>
        <w:spacing w:after="40"/>
      </w:pPr>
      <w:r>
        <w:rPr>
          <w:b/>
        </w:rPr>
        <w:t>5. Ejes transversales y valores   (parte 1)</w:t>
      </w:r>
    </w:p>
    <w:p>
      <w:pPr>
        <w:spacing w:after="40"/>
      </w:pPr>
      <w:r>
        <w:rPr>
          <w:b/>
        </w:rPr>
        <w:t>6. Perfil de salida de primer año   (parte 1)</w:t>
      </w:r>
    </w:p>
    <w:p>
      <w:pPr>
        <w:spacing w:after="40"/>
      </w:pPr>
      <w:r>
        <w:rPr>
          <w:b/>
        </w:rPr>
        <w:t>7. Orientaciones metodológicas   (parte 1)</w:t>
      </w:r>
    </w:p>
    <w:p>
      <w:pPr>
        <w:spacing w:after="40"/>
      </w:pPr>
      <w:r>
        <w:rPr>
          <w:b/>
        </w:rPr>
        <w:t>8. Orientaciones para la evaluación   (parte 1)</w:t>
      </w:r>
    </w:p>
    <w:p>
      <w:pPr>
        <w:spacing w:after="40"/>
      </w:pPr>
      <w:r>
        <w:rPr>
          <w:b/>
        </w:rPr>
        <w:t>9. Distribución del tiempo   (parte 1)</w:t>
      </w:r>
    </w:p>
    <w:p>
      <w:pPr>
        <w:spacing w:after="40"/>
      </w:pPr>
      <w:r>
        <w:t>10. Malla curricular   (parte 2)</w:t>
      </w:r>
    </w:p>
    <w:p>
      <w:pPr>
        <w:spacing w:after="40"/>
      </w:pPr>
      <w:r>
        <w:t>11. Proyectos   (parte 2)</w:t>
      </w:r>
    </w:p>
    <w:p>
      <w:pPr>
        <w:spacing w:after="40"/>
      </w:pPr>
      <w:r>
        <w:t>12. Instrumentos de evaluación   (parte 2)</w:t>
      </w:r>
    </w:p>
    <w:p>
      <w:pPr>
        <w:spacing w:after="40"/>
      </w:pPr>
      <w:r>
        <w:t>13. Glosario   (parte 2)</w:t>
      </w:r>
    </w:p>
    <w:p>
      <w:pPr>
        <w:spacing w:after="40"/>
      </w:pPr>
      <w:r>
        <w:t>14. Referencias   (parte 2)</w:t>
      </w:r>
    </w:p>
    <w:p>
      <w:r>
        <w:br w:type="page"/>
      </w:r>
    </w:p>
    <w:p>
      <w:pPr>
        <w:pStyle w:val="Heading1"/>
      </w:pPr>
      <w:r>
        <w:t>1. Presentación</w:t>
      </w:r>
    </w:p>
    <w:p>
      <w:pPr>
        <w:jc w:val="both"/>
      </w:pPr>
      <w:r>
        <w:t>Este documento es el programa de estudio de Ajedrez para primer año del I Ciclo de la Educación General Básica. Forma parte de una serie de once programas, uno por cada año de la Educación General Básica y de la Educación Diversificada, pensados para que una escuela o un colegio pueda ofrecer el ajedrez como asignatura con la misma seriedad con que ofrece cualquier otra: con aprendizajes esperados, habilidades, contenidos, estrategias de mediación, indicadores y una evaluación que se pueda defender ante la familia y ante la dirección.</w:t>
      </w:r>
    </w:p>
    <w:p>
      <w:pPr>
        <w:jc w:val="both"/>
      </w:pPr>
      <w:r>
        <w:t>La estructura sigue la de los programas de estudio del Ministerio de Educación Pública de Costa Rica elaborados a partir de la Política Curricular «Educar para una nueva ciudadanía» y de la Política Educativa «La persona: centro del proceso educativo y sujeto transformador de la sociedad». Por eso cada unidad parte de aprendizajes esperados, los vincula con una habilidad del marco curricular y con su indicador, y describe tres niveles de desempeño (inicial, intermedio y avanzado) para valorar el avance de cada estudiante.</w:t>
      </w:r>
    </w:p>
    <w:p>
      <w:pPr>
        <w:jc w:val="both"/>
      </w:pPr>
      <w:r>
        <w:t>Junto a este programa va el planeamiento de las 200 lecciones del curso lectivo, una por día, cada una con sus cuatro momentos de mediación, su evaluación y sus materiales. La persona docente lo puede usar tal como está o ajustarlo a su grupo; para eso se marcaron como flexibles algunos días de refuerzo, que se pueden omitir cuando el calendario real trae menos días lectivos.</w:t>
      </w:r>
    </w:p>
    <w:p>
      <w:pPr>
        <w:pStyle w:val="Heading2"/>
      </w:pPr>
      <w:r>
        <w:t>Sobre primer año</w:t>
      </w:r>
    </w:p>
    <w:p>
      <w:pPr>
        <w:jc w:val="both"/>
      </w:pPr>
      <w:r>
        <w:t>En primer año la mayoría de las niñas y los niños llega a la clase de ajedrez sin haber tocado nunca un tablero. Vienen del preescolar, donde aprendieron a esperar turno, a seguir consignas cortas y a trabajar en el piso. Este programa aprovecha eso: el ajedrez se aprende primero con el cuerpo, caminando sobre un tablero gigante pintado en el piso del aula o del corredor, y después con las manos, en tableros de mesa, fichas de colorear y el tablero mural de la pizarra.</w:t>
      </w:r>
    </w:p>
    <w:p>
      <w:pPr>
        <w:jc w:val="both"/>
      </w:pPr>
      <w:r>
        <w:t>El curso sigue el orden de «Ajedrez en el aula 1» (Anguix, Ballester, Bueno y Gascó): primero el tablero y sus caminos, después las piezas y la posición inicial, y luego cada pieza por separado, presentada en primera persona («Hola, soy la Torre») y practicada con minijuegos de captura y de recorrido. Las reglas se enseñan como las fijan las Leyes del Ajedrez de la FIDE, pero en dosis pequeñas: el peón avanza y captura, y su paso largo de salida se presenta hasta la última unidad; la coronación se menciona solo como premio del peón que llega al final, y el enroque y la captura al paso quedan para segundo año.</w:t>
      </w:r>
    </w:p>
    <w:p>
      <w:pPr>
        <w:jc w:val="both"/>
      </w:pPr>
      <w:r>
        <w:t>Al terminar el año, la persona estudiante juega una partida completa sencilla, reconoce cuándo su rey está en jaque y sabe salir de él, y se ha acostumbrado a saludar, a perder sin llorar demasiado y a ganar sin burlarse. En segundo año retomará el tablero para aprender el nombre de cada casilla, el valor de las piezas y los movimientos especiales, de modo que el último mes de este año ya le presenta las letras de las columnas y los números de las filas.</w:t>
      </w:r>
    </w:p>
    <w:p>
      <w:pPr>
        <w:pStyle w:val="Heading1"/>
      </w:pPr>
      <w:r>
        <w:t>2. Fundamentación</w:t>
      </w:r>
    </w:p>
    <w:p>
      <w:pPr>
        <w:jc w:val="both"/>
      </w:pPr>
      <w:r>
        <w:t>El ajedrez es un juego de información completa: nada está escondido y nada depende del azar. Lo que pasa en el tablero es consecuencia de las decisiones de cada jugador. Esa sola característica lo vuelve una herramienta educativa de primer orden, porque obliga a observar antes de actuar, a prever lo que hará la otra persona y a hacerse cargo del resultado.</w:t>
      </w:r>
    </w:p>
    <w:p>
      <w:pPr>
        <w:jc w:val="both"/>
      </w:pPr>
      <w:r>
        <w:t>En el aula, una partida pone en juego al mismo tiempo la atención sostenida, la memoria de trabajo, la orientación espacial, el cálculo, la comparación de alternativas y el control de los impulsos. También pone en juego la convivencia: se saluda antes de empezar, se respeta el turno, se acepta la derrota y se gana sin humillar. Para la niña o el niño que apenas aprende a leer, el tablero es un mapa con coordenadas; para la persona adolescente, es un laboratorio donde formula hipótesis, las pone a prueba y revisa su razonamiento cuando se equivoca.</w:t>
      </w:r>
    </w:p>
    <w:p>
      <w:pPr>
        <w:jc w:val="both"/>
      </w:pPr>
      <w:r>
        <w:t>Este programa no busca formar campeones, aunque no lo impide. Busca que cada estudiante aprenda a pensar mejor y a convivir mejor por medio de un juego que tiene quince siglos de historia y que hoy se juega en todos los países del mundo, en el parque, en el colegio y en internet. Costa Rica tiene una tradición ajedrecística viva, con torneos escolares, los Juegos Deportivos Nacionales y una federación que organiza competencias para todas las edades; la escuela es el lugar donde esa tradición se vuelve accesible para todas las personas, no solo para quien tiene un club cerca.</w:t>
      </w:r>
    </w:p>
    <w:p>
      <w:pPr>
        <w:jc w:val="both"/>
      </w:pPr>
      <w:r>
        <w:t>El ajedrez dialoga además con otras asignaturas. Con Matemáticas comparte la geometría del tablero, las coordenadas, el conteo y el razonamiento lógico. Con Español, la lectura de instrucciones, la escritura de comentarios y la argumentación oral. Con Estudios Sociales, la historia de un juego que viajó desde la India hasta América. Con Educación Física, el cuidado del cuerpo y de la mente en la competencia. El programa aprovecha esos puentes cada vez que puede.</w:t>
      </w:r>
    </w:p>
    <w:p>
      <w:pPr>
        <w:pStyle w:val="Heading1"/>
      </w:pPr>
      <w:r>
        <w:t>3. Enfoque curricular y mediación pedagógica</w:t>
      </w:r>
    </w:p>
    <w:p>
      <w:pPr>
        <w:jc w:val="both"/>
      </w:pPr>
      <w:r>
        <w:t>El programa se apoya en una visión socioconstructivista del aprendizaje: la persona estudiante construye el conocimiento al actuar sobre el tablero, al confrontar sus ideas con las de sus compañeros y al contrastarlas con la explicación de la persona docente y con la tradición escrita del juego. Nadie aprende ajedrez solo escuchando: se aprende jugando, equivocándose y revisando por qué.</w:t>
      </w:r>
    </w:p>
    <w:p>
      <w:pPr>
        <w:jc w:val="both"/>
      </w:pPr>
      <w:r>
        <w:t>La persona docente actúa como mediadora. Prepara la situación, plantea el reto, observa, pregunta y devuelve. Explica cuando hace falta, pero no le quita al estudiantado el gusto de descubrir. Las lecciones están organizadas en cuatro momentos: focalización, exploración, contrastación y aplicación.</w:t>
      </w:r>
    </w:p>
    <w:tbl>
      <w:tblPr>
        <w:tblStyle w:val="TableGrid"/>
        <w:tblW w:type="auto" w:w="0"/>
        <w:jc w:val="center"/>
        <w:tblLayout w:type="fixed"/>
        <w:tblLook w:firstColumn="1" w:firstRow="1" w:lastColumn="0" w:lastRow="0" w:noHBand="0" w:noVBand="1" w:val="04A0"/>
      </w:tblPr>
      <w:tblGrid>
        <w:gridCol w:w="2551"/>
        <w:gridCol w:w="7087"/>
      </w:tblGrid>
      <w:tr>
        <w:trPr>
          <w:tblHeader w:val="true"/>
        </w:trPr>
        <w:tc>
          <w:tcPr>
            <w:tcW w:type="dxa" w:w="2551"/>
            <w:shd w:val="clear" w:color="auto" w:fill="1F3A5F"/>
          </w:tcPr>
          <w:p>
            <w:pPr>
              <w:pStyle w:val="Celda9NFFFFFFS"/>
            </w:pPr>
            <w:r/>
            <w:r>
              <w:t>Momento</w:t>
            </w:r>
          </w:p>
        </w:tc>
        <w:tc>
          <w:tcPr>
            <w:tcW w:type="dxa" w:w="7087"/>
            <w:shd w:val="clear" w:color="auto" w:fill="1F3A5F"/>
          </w:tcPr>
          <w:p>
            <w:pPr>
              <w:pStyle w:val="Celda9NFFFFFFS"/>
            </w:pPr>
            <w:r/>
            <w:r>
              <w:t>Qué sucede</w:t>
            </w:r>
          </w:p>
        </w:tc>
      </w:tr>
      <w:tr>
        <w:tc>
          <w:tcPr>
            <w:tcW w:type="dxa" w:w="2551"/>
          </w:tcPr>
          <w:p>
            <w:pPr>
              <w:pStyle w:val="Celda9RXS"/>
            </w:pPr>
            <w:r/>
            <w:r>
              <w:t>Focalización (5 minutos)</w:t>
            </w:r>
          </w:p>
        </w:tc>
        <w:tc>
          <w:tcPr>
            <w:tcW w:type="dxa" w:w="7087"/>
          </w:tcPr>
          <w:p>
            <w:pPr>
              <w:pStyle w:val="Celda9RXS"/>
            </w:pPr>
            <w:r/>
            <w:r>
              <w:t>Se despierta el interés y se recupera lo que el grupo ya sabe: una pregunta, un reto en el tablero mural, una historia corta, una adivinanza o la revisión de la tarea.</w:t>
            </w:r>
          </w:p>
        </w:tc>
      </w:tr>
      <w:tr>
        <w:tc>
          <w:tcPr>
            <w:tcW w:type="dxa" w:w="2551"/>
          </w:tcPr>
          <w:p>
            <w:pPr>
              <w:pStyle w:val="Celda9RXS"/>
            </w:pPr>
            <w:r/>
            <w:r>
              <w:t>Exploración (15 minutos)</w:t>
            </w:r>
          </w:p>
        </w:tc>
        <w:tc>
          <w:tcPr>
            <w:tcW w:type="dxa" w:w="7087"/>
          </w:tcPr>
          <w:p>
            <w:pPr>
              <w:pStyle w:val="Celda9RXS"/>
            </w:pPr>
            <w:r/>
            <w:r>
              <w:t>El estudiantado trabaja con las piezas, en parejas o en pequeños grupos: prueba, juega, cuenta, compara. La persona docente circula, observa y toma nota.</w:t>
            </w:r>
          </w:p>
        </w:tc>
      </w:tr>
      <w:tr>
        <w:tc>
          <w:tcPr>
            <w:tcW w:type="dxa" w:w="2551"/>
          </w:tcPr>
          <w:p>
            <w:pPr>
              <w:pStyle w:val="Celda9RXS"/>
            </w:pPr>
            <w:r/>
            <w:r>
              <w:t>Contrastación (10 minutos)</w:t>
            </w:r>
          </w:p>
        </w:tc>
        <w:tc>
          <w:tcPr>
            <w:tcW w:type="dxa" w:w="7087"/>
          </w:tcPr>
          <w:p>
            <w:pPr>
              <w:pStyle w:val="Celda9RXS"/>
            </w:pPr>
            <w:r/>
            <w:r>
              <w:t>Se ponen en común los hallazgos y se confrontan con la regla, con la explicación de la persona docente o con la fuente. Aquí se nombra el concepto y se corrigen errores.</w:t>
            </w:r>
          </w:p>
        </w:tc>
      </w:tr>
      <w:tr>
        <w:tc>
          <w:tcPr>
            <w:tcW w:type="dxa" w:w="2551"/>
          </w:tcPr>
          <w:p>
            <w:pPr>
              <w:pStyle w:val="Celda9RXS"/>
            </w:pPr>
            <w:r/>
            <w:r>
              <w:t>Aplicación (10 minutos)</w:t>
            </w:r>
          </w:p>
        </w:tc>
        <w:tc>
          <w:tcPr>
            <w:tcW w:type="dxa" w:w="7087"/>
          </w:tcPr>
          <w:p>
            <w:pPr>
              <w:pStyle w:val="Celda9RXS"/>
            </w:pPr>
            <w:r/>
            <w:r>
              <w:t>Lo aprendido se usa en una situación nueva: un minijuego, una partida con una consigna, un ejercicio o una salida rápida que permite saber quién lo logró.</w:t>
            </w:r>
          </w:p>
        </w:tc>
      </w:tr>
    </w:tbl>
    <w:p>
      <w:pPr>
        <w:pStyle w:val="Heading1"/>
      </w:pPr>
      <w:r>
        <w:t>4. Las habilidades y el ajedrez</w:t>
      </w:r>
    </w:p>
    <w:p>
      <w:pPr>
        <w:jc w:val="both"/>
      </w:pPr>
      <w:r>
        <w:t>El marco curricular organiza las habilidades en cuatro dimensiones. La tabla muestra cómo las trabaja el ajedrez. En la malla curricular, cada aprendizaje esperado se vincula con una de ellas y con un indicador observable.</w:t>
      </w:r>
    </w:p>
    <w:tbl>
      <w:tblPr>
        <w:tblStyle w:val="TableGrid"/>
        <w:tblW w:type="auto" w:w="0"/>
        <w:jc w:val="center"/>
        <w:tblLayout w:type="fixed"/>
        <w:tblLook w:firstColumn="1" w:firstRow="1" w:lastColumn="0" w:lastRow="0" w:noHBand="0" w:noVBand="1" w:val="04A0"/>
      </w:tblPr>
      <w:tblGrid>
        <w:gridCol w:w="2041"/>
        <w:gridCol w:w="2154"/>
        <w:gridCol w:w="5443"/>
      </w:tblGrid>
      <w:tr>
        <w:trPr>
          <w:tblHeader w:val="true"/>
        </w:trPr>
        <w:tc>
          <w:tcPr>
            <w:tcW w:type="dxa" w:w="2041"/>
            <w:shd w:val="clear" w:color="auto" w:fill="1F3A5F"/>
          </w:tcPr>
          <w:p>
            <w:pPr>
              <w:pStyle w:val="Celda9NFFFFFFS"/>
            </w:pPr>
            <w:r/>
            <w:r>
              <w:t>Dimensión</w:t>
            </w:r>
          </w:p>
        </w:tc>
        <w:tc>
          <w:tcPr>
            <w:tcW w:type="dxa" w:w="2154"/>
            <w:shd w:val="clear" w:color="auto" w:fill="1F3A5F"/>
          </w:tcPr>
          <w:p>
            <w:pPr>
              <w:pStyle w:val="Celda9NFFFFFFS"/>
            </w:pPr>
            <w:r/>
            <w:r>
              <w:t>Habilidad</w:t>
            </w:r>
          </w:p>
        </w:tc>
        <w:tc>
          <w:tcPr>
            <w:tcW w:type="dxa" w:w="5443"/>
            <w:shd w:val="clear" w:color="auto" w:fill="1F3A5F"/>
          </w:tcPr>
          <w:p>
            <w:pPr>
              <w:pStyle w:val="Celda9NFFFFFFS"/>
            </w:pPr>
            <w:r/>
            <w:r>
              <w:t>Cómo la desarrolla el ajedrez</w:t>
            </w:r>
          </w:p>
        </w:tc>
      </w:tr>
      <w:tr>
        <w:tc>
          <w:tcPr>
            <w:tcW w:type="dxa" w:w="2041"/>
          </w:tcPr>
          <w:p>
            <w:pPr>
              <w:pStyle w:val="Celda9RXS"/>
            </w:pPr>
            <w:r/>
            <w:r>
              <w:t>Maneras de pensar</w:t>
            </w:r>
          </w:p>
        </w:tc>
        <w:tc>
          <w:tcPr>
            <w:tcW w:type="dxa" w:w="2154"/>
          </w:tcPr>
          <w:p>
            <w:pPr>
              <w:pStyle w:val="Celda9RXS"/>
            </w:pPr>
            <w:r/>
            <w:r>
              <w:t>Pensamiento sistémico</w:t>
            </w:r>
          </w:p>
        </w:tc>
        <w:tc>
          <w:tcPr>
            <w:tcW w:type="dxa" w:w="5443"/>
          </w:tcPr>
          <w:p>
            <w:pPr>
              <w:pStyle w:val="Celda9RXS"/>
            </w:pPr>
            <w:r/>
            <w:r>
              <w:t>Ver el tablero como un todo: cada pieza depende de las demás y una jugada cambia el conjunto.</w:t>
            </w:r>
          </w:p>
        </w:tc>
      </w:tr>
      <w:tr>
        <w:tc>
          <w:tcPr>
            <w:tcW w:type="dxa" w:w="2041"/>
          </w:tcPr>
          <w:p>
            <w:pPr>
              <w:pStyle w:val="Celda9RXS"/>
            </w:pPr>
            <w:r/>
            <w:r>
              <w:t>Maneras de pensar</w:t>
            </w:r>
          </w:p>
        </w:tc>
        <w:tc>
          <w:tcPr>
            <w:tcW w:type="dxa" w:w="2154"/>
          </w:tcPr>
          <w:p>
            <w:pPr>
              <w:pStyle w:val="Celda9RXS"/>
            </w:pPr>
            <w:r/>
            <w:r>
              <w:t>Pensamiento crítico</w:t>
            </w:r>
          </w:p>
        </w:tc>
        <w:tc>
          <w:tcPr>
            <w:tcW w:type="dxa" w:w="5443"/>
          </w:tcPr>
          <w:p>
            <w:pPr>
              <w:pStyle w:val="Celda9RXS"/>
            </w:pPr>
            <w:r/>
            <w:r>
              <w:t>Evaluar una jugada antes de hacerla, revisar la del rival y justificar con razones por qué una es mejor que otra.</w:t>
            </w:r>
          </w:p>
        </w:tc>
      </w:tr>
      <w:tr>
        <w:tc>
          <w:tcPr>
            <w:tcW w:type="dxa" w:w="2041"/>
          </w:tcPr>
          <w:p>
            <w:pPr>
              <w:pStyle w:val="Celda9RXS"/>
            </w:pPr>
            <w:r/>
            <w:r>
              <w:t>Maneras de pensar</w:t>
            </w:r>
          </w:p>
        </w:tc>
        <w:tc>
          <w:tcPr>
            <w:tcW w:type="dxa" w:w="2154"/>
          </w:tcPr>
          <w:p>
            <w:pPr>
              <w:pStyle w:val="Celda9RXS"/>
            </w:pPr>
            <w:r/>
            <w:r>
              <w:t>Aprender a aprender</w:t>
            </w:r>
          </w:p>
        </w:tc>
        <w:tc>
          <w:tcPr>
            <w:tcW w:type="dxa" w:w="5443"/>
          </w:tcPr>
          <w:p>
            <w:pPr>
              <w:pStyle w:val="Celda9RXS"/>
            </w:pPr>
            <w:r/>
            <w:r>
              <w:t>Analizar las propias partidas, reconocer los errores y planear cómo mejorar.</w:t>
            </w:r>
          </w:p>
        </w:tc>
      </w:tr>
      <w:tr>
        <w:tc>
          <w:tcPr>
            <w:tcW w:type="dxa" w:w="2041"/>
          </w:tcPr>
          <w:p>
            <w:pPr>
              <w:pStyle w:val="Celda9RXS"/>
            </w:pPr>
            <w:r/>
            <w:r>
              <w:t>Maneras de pensar</w:t>
            </w:r>
          </w:p>
        </w:tc>
        <w:tc>
          <w:tcPr>
            <w:tcW w:type="dxa" w:w="2154"/>
          </w:tcPr>
          <w:p>
            <w:pPr>
              <w:pStyle w:val="Celda9RXS"/>
            </w:pPr>
            <w:r/>
            <w:r>
              <w:t>Resolución de problemas</w:t>
            </w:r>
          </w:p>
        </w:tc>
        <w:tc>
          <w:tcPr>
            <w:tcW w:type="dxa" w:w="5443"/>
          </w:tcPr>
          <w:p>
            <w:pPr>
              <w:pStyle w:val="Celda9RXS"/>
            </w:pPr>
            <w:r/>
            <w:r>
              <w:t>Encontrar la jugada que resuelve una posición, con un método: mirar, buscar candidatas, calcular y comprobar.</w:t>
            </w:r>
          </w:p>
        </w:tc>
      </w:tr>
      <w:tr>
        <w:tc>
          <w:tcPr>
            <w:tcW w:type="dxa" w:w="2041"/>
          </w:tcPr>
          <w:p>
            <w:pPr>
              <w:pStyle w:val="Celda9RXS"/>
            </w:pPr>
            <w:r/>
            <w:r>
              <w:t>Maneras de pensar</w:t>
            </w:r>
          </w:p>
        </w:tc>
        <w:tc>
          <w:tcPr>
            <w:tcW w:type="dxa" w:w="2154"/>
          </w:tcPr>
          <w:p>
            <w:pPr>
              <w:pStyle w:val="Celda9RXS"/>
            </w:pPr>
            <w:r/>
            <w:r>
              <w:t>Creatividad e innovación</w:t>
            </w:r>
          </w:p>
        </w:tc>
        <w:tc>
          <w:tcPr>
            <w:tcW w:type="dxa" w:w="5443"/>
          </w:tcPr>
          <w:p>
            <w:pPr>
              <w:pStyle w:val="Celda9RXS"/>
            </w:pPr>
            <w:r/>
            <w:r>
              <w:t>Inventar planes, minijuegos, problemas y variantes; buscar la jugada que nadie espera.</w:t>
            </w:r>
          </w:p>
        </w:tc>
      </w:tr>
      <w:tr>
        <w:tc>
          <w:tcPr>
            <w:tcW w:type="dxa" w:w="2041"/>
          </w:tcPr>
          <w:p>
            <w:pPr>
              <w:pStyle w:val="Celda9RXS"/>
            </w:pPr>
            <w:r/>
            <w:r>
              <w:t>Formas de vivir en el mundo</w:t>
            </w:r>
          </w:p>
        </w:tc>
        <w:tc>
          <w:tcPr>
            <w:tcW w:type="dxa" w:w="2154"/>
          </w:tcPr>
          <w:p>
            <w:pPr>
              <w:pStyle w:val="Celda9RXS"/>
            </w:pPr>
            <w:r/>
            <w:r>
              <w:t>Ciudadanía global y local</w:t>
            </w:r>
          </w:p>
        </w:tc>
        <w:tc>
          <w:tcPr>
            <w:tcW w:type="dxa" w:w="5443"/>
          </w:tcPr>
          <w:p>
            <w:pPr>
              <w:pStyle w:val="Celda9RXS"/>
            </w:pPr>
            <w:r/>
            <w:r>
              <w:t>Conocer la historia del juego y su presencia en otras culturas; participar en la vida ajedrecística de la comunidad.</w:t>
            </w:r>
          </w:p>
        </w:tc>
      </w:tr>
      <w:tr>
        <w:tc>
          <w:tcPr>
            <w:tcW w:type="dxa" w:w="2041"/>
          </w:tcPr>
          <w:p>
            <w:pPr>
              <w:pStyle w:val="Celda9RXS"/>
            </w:pPr>
            <w:r/>
            <w:r>
              <w:t>Formas de vivir en el mundo</w:t>
            </w:r>
          </w:p>
        </w:tc>
        <w:tc>
          <w:tcPr>
            <w:tcW w:type="dxa" w:w="2154"/>
          </w:tcPr>
          <w:p>
            <w:pPr>
              <w:pStyle w:val="Celda9RXS"/>
            </w:pPr>
            <w:r/>
            <w:r>
              <w:t>Responsabilidad personal y social</w:t>
            </w:r>
          </w:p>
        </w:tc>
        <w:tc>
          <w:tcPr>
            <w:tcW w:type="dxa" w:w="5443"/>
          </w:tcPr>
          <w:p>
            <w:pPr>
              <w:pStyle w:val="Celda9RXS"/>
            </w:pPr>
            <w:r/>
            <w:r>
              <w:t>Cumplir el reglamento, aceptar el resultado, cuidar el material y respetar al rival.</w:t>
            </w:r>
          </w:p>
        </w:tc>
      </w:tr>
      <w:tr>
        <w:tc>
          <w:tcPr>
            <w:tcW w:type="dxa" w:w="2041"/>
          </w:tcPr>
          <w:p>
            <w:pPr>
              <w:pStyle w:val="Celda9RXS"/>
            </w:pPr>
            <w:r/>
            <w:r>
              <w:t>Formas de vivir en el mundo</w:t>
            </w:r>
          </w:p>
        </w:tc>
        <w:tc>
          <w:tcPr>
            <w:tcW w:type="dxa" w:w="2154"/>
          </w:tcPr>
          <w:p>
            <w:pPr>
              <w:pStyle w:val="Celda9RXS"/>
            </w:pPr>
            <w:r/>
            <w:r>
              <w:t>Estilos de vida saludables</w:t>
            </w:r>
          </w:p>
        </w:tc>
        <w:tc>
          <w:tcPr>
            <w:tcW w:type="dxa" w:w="5443"/>
          </w:tcPr>
          <w:p>
            <w:pPr>
              <w:pStyle w:val="Celda9RXS"/>
            </w:pPr>
            <w:r/>
            <w:r>
              <w:t>Manejar la frustración, la ansiedad de la competencia y el uso del tiempo frente a pantallas.</w:t>
            </w:r>
          </w:p>
        </w:tc>
      </w:tr>
      <w:tr>
        <w:tc>
          <w:tcPr>
            <w:tcW w:type="dxa" w:w="2041"/>
          </w:tcPr>
          <w:p>
            <w:pPr>
              <w:pStyle w:val="Celda9RXS"/>
            </w:pPr>
            <w:r/>
            <w:r>
              <w:t>Formas de vivir en el mundo</w:t>
            </w:r>
          </w:p>
        </w:tc>
        <w:tc>
          <w:tcPr>
            <w:tcW w:type="dxa" w:w="2154"/>
          </w:tcPr>
          <w:p>
            <w:pPr>
              <w:pStyle w:val="Celda9RXS"/>
            </w:pPr>
            <w:r/>
            <w:r>
              <w:t>Vida y carrera</w:t>
            </w:r>
          </w:p>
        </w:tc>
        <w:tc>
          <w:tcPr>
            <w:tcW w:type="dxa" w:w="5443"/>
          </w:tcPr>
          <w:p>
            <w:pPr>
              <w:pStyle w:val="Celda9RXS"/>
            </w:pPr>
            <w:r/>
            <w:r>
              <w:t>Reconocer el ajedrez como espacio de formación, arbitraje, enseñanza y organización de eventos.</w:t>
            </w:r>
          </w:p>
        </w:tc>
      </w:tr>
      <w:tr>
        <w:tc>
          <w:tcPr>
            <w:tcW w:type="dxa" w:w="2041"/>
          </w:tcPr>
          <w:p>
            <w:pPr>
              <w:pStyle w:val="Celda9RXS"/>
            </w:pPr>
            <w:r/>
            <w:r>
              <w:t>Formas de relacionarse con otros</w:t>
            </w:r>
          </w:p>
        </w:tc>
        <w:tc>
          <w:tcPr>
            <w:tcW w:type="dxa" w:w="2154"/>
          </w:tcPr>
          <w:p>
            <w:pPr>
              <w:pStyle w:val="Celda9RXS"/>
            </w:pPr>
            <w:r/>
            <w:r>
              <w:t>Colaboración</w:t>
            </w:r>
          </w:p>
        </w:tc>
        <w:tc>
          <w:tcPr>
            <w:tcW w:type="dxa" w:w="5443"/>
          </w:tcPr>
          <w:p>
            <w:pPr>
              <w:pStyle w:val="Celda9RXS"/>
            </w:pPr>
            <w:r/>
            <w:r>
              <w:t>Analizar en pareja o en equipo, enseñar a quien sabe menos y jugar en equipos.</w:t>
            </w:r>
          </w:p>
        </w:tc>
      </w:tr>
      <w:tr>
        <w:tc>
          <w:tcPr>
            <w:tcW w:type="dxa" w:w="2041"/>
          </w:tcPr>
          <w:p>
            <w:pPr>
              <w:pStyle w:val="Celda9RXS"/>
            </w:pPr>
            <w:r/>
            <w:r>
              <w:t>Formas de relacionarse con otros</w:t>
            </w:r>
          </w:p>
        </w:tc>
        <w:tc>
          <w:tcPr>
            <w:tcW w:type="dxa" w:w="2154"/>
          </w:tcPr>
          <w:p>
            <w:pPr>
              <w:pStyle w:val="Celda9RXS"/>
            </w:pPr>
            <w:r/>
            <w:r>
              <w:t>Comunicación</w:t>
            </w:r>
          </w:p>
        </w:tc>
        <w:tc>
          <w:tcPr>
            <w:tcW w:type="dxa" w:w="5443"/>
          </w:tcPr>
          <w:p>
            <w:pPr>
              <w:pStyle w:val="Celda9RXS"/>
            </w:pPr>
            <w:r/>
            <w:r>
              <w:t>Explicar una idea con el vocabulario del juego, anotar partidas y comentarlas por escrito u oralmente.</w:t>
            </w:r>
          </w:p>
        </w:tc>
      </w:tr>
      <w:tr>
        <w:tc>
          <w:tcPr>
            <w:tcW w:type="dxa" w:w="2041"/>
          </w:tcPr>
          <w:p>
            <w:pPr>
              <w:pStyle w:val="Celda9RXS"/>
            </w:pPr>
            <w:r/>
            <w:r>
              <w:t>Herramientas para integrarse al mundo</w:t>
            </w:r>
          </w:p>
        </w:tc>
        <w:tc>
          <w:tcPr>
            <w:tcW w:type="dxa" w:w="2154"/>
          </w:tcPr>
          <w:p>
            <w:pPr>
              <w:pStyle w:val="Celda9RXS"/>
            </w:pPr>
            <w:r/>
            <w:r>
              <w:t>Apropiación de tecnologías digitales</w:t>
            </w:r>
          </w:p>
        </w:tc>
        <w:tc>
          <w:tcPr>
            <w:tcW w:type="dxa" w:w="5443"/>
          </w:tcPr>
          <w:p>
            <w:pPr>
              <w:pStyle w:val="Celda9RXS"/>
            </w:pPr>
            <w:r/>
            <w:r>
              <w:t>Usar con criterio tableros digitales, bases de datos y programas de análisis.</w:t>
            </w:r>
          </w:p>
        </w:tc>
      </w:tr>
      <w:tr>
        <w:tc>
          <w:tcPr>
            <w:tcW w:type="dxa" w:w="2041"/>
          </w:tcPr>
          <w:p>
            <w:pPr>
              <w:pStyle w:val="Celda9RXS"/>
            </w:pPr>
            <w:r/>
            <w:r>
              <w:t>Herramientas para integrarse al mundo</w:t>
            </w:r>
          </w:p>
        </w:tc>
        <w:tc>
          <w:tcPr>
            <w:tcW w:type="dxa" w:w="2154"/>
          </w:tcPr>
          <w:p>
            <w:pPr>
              <w:pStyle w:val="Celda9RXS"/>
            </w:pPr>
            <w:r/>
            <w:r>
              <w:t>Manejo de la información</w:t>
            </w:r>
          </w:p>
        </w:tc>
        <w:tc>
          <w:tcPr>
            <w:tcW w:type="dxa" w:w="5443"/>
          </w:tcPr>
          <w:p>
            <w:pPr>
              <w:pStyle w:val="Celda9RXS"/>
            </w:pPr>
            <w:r/>
            <w:r>
              <w:t>Buscar, seleccionar y organizar partidas, reglamentos y datos históricos.</w:t>
            </w:r>
          </w:p>
        </w:tc>
      </w:tr>
    </w:tbl>
    <w:p>
      <w:pPr>
        <w:pStyle w:val="Heading1"/>
      </w:pPr>
      <w:r>
        <w:t>5. Ejes transversales y valores</w:t>
      </w:r>
    </w:p>
    <w:tbl>
      <w:tblPr>
        <w:tblStyle w:val="TableGrid"/>
        <w:tblW w:type="auto" w:w="0"/>
        <w:jc w:val="center"/>
        <w:tblLayout w:type="fixed"/>
        <w:tblLook w:firstColumn="1" w:firstRow="1" w:lastColumn="0" w:lastRow="0" w:noHBand="0" w:noVBand="1" w:val="04A0"/>
      </w:tblPr>
      <w:tblGrid>
        <w:gridCol w:w="3118"/>
        <w:gridCol w:w="6520"/>
      </w:tblGrid>
      <w:tr>
        <w:trPr>
          <w:tblHeader w:val="true"/>
        </w:trPr>
        <w:tc>
          <w:tcPr>
            <w:tcW w:type="dxa" w:w="3118"/>
            <w:shd w:val="clear" w:color="auto" w:fill="1F3A5F"/>
          </w:tcPr>
          <w:p>
            <w:pPr>
              <w:pStyle w:val="Celda9NFFFFFFS"/>
            </w:pPr>
            <w:r/>
            <w:r>
              <w:t>Eje transversal</w:t>
            </w:r>
          </w:p>
        </w:tc>
        <w:tc>
          <w:tcPr>
            <w:tcW w:type="dxa" w:w="6520"/>
            <w:shd w:val="clear" w:color="auto" w:fill="1F3A5F"/>
          </w:tcPr>
          <w:p>
            <w:pPr>
              <w:pStyle w:val="Celda9NFFFFFFS"/>
            </w:pPr>
            <w:r/>
            <w:r>
              <w:t>Aporte desde el ajedrez</w:t>
            </w:r>
          </w:p>
        </w:tc>
      </w:tr>
      <w:tr>
        <w:tc>
          <w:tcPr>
            <w:tcW w:type="dxa" w:w="3118"/>
          </w:tcPr>
          <w:p>
            <w:pPr>
              <w:pStyle w:val="Celda9RXS"/>
            </w:pPr>
            <w:r/>
            <w:r>
              <w:t>Cultura ambiental para el desarrollo sostenible</w:t>
            </w:r>
          </w:p>
        </w:tc>
        <w:tc>
          <w:tcPr>
            <w:tcW w:type="dxa" w:w="6520"/>
          </w:tcPr>
          <w:p>
            <w:pPr>
              <w:pStyle w:val="Celda9RXS"/>
            </w:pPr>
            <w:r/>
            <w:r>
              <w:t>Cuidado del material común (tableros, piezas, relojes), uso de materiales reciclados para fabricar tableros y piezas, y reflexión sobre el uso responsable de los recursos.</w:t>
            </w:r>
          </w:p>
        </w:tc>
      </w:tr>
      <w:tr>
        <w:tc>
          <w:tcPr>
            <w:tcW w:type="dxa" w:w="3118"/>
          </w:tcPr>
          <w:p>
            <w:pPr>
              <w:pStyle w:val="Celda9RXS"/>
            </w:pPr>
            <w:r/>
            <w:r>
              <w:t>Educación integral de la sexualidad</w:t>
            </w:r>
          </w:p>
        </w:tc>
        <w:tc>
          <w:tcPr>
            <w:tcW w:type="dxa" w:w="6520"/>
          </w:tcPr>
          <w:p>
            <w:pPr>
              <w:pStyle w:val="Celda9RXS"/>
            </w:pPr>
            <w:r/>
            <w:r>
              <w:t>Participación equitativa de niñas, niños y adolescentes en todas las actividades, sin estereotipos sobre quién «sirve» para el ajedrez, y reconocimiento de grandes jugadoras.</w:t>
            </w:r>
          </w:p>
        </w:tc>
      </w:tr>
      <w:tr>
        <w:tc>
          <w:tcPr>
            <w:tcW w:type="dxa" w:w="3118"/>
          </w:tcPr>
          <w:p>
            <w:pPr>
              <w:pStyle w:val="Celda9RXS"/>
            </w:pPr>
            <w:r/>
            <w:r>
              <w:t>Educación para la salud</w:t>
            </w:r>
          </w:p>
        </w:tc>
        <w:tc>
          <w:tcPr>
            <w:tcW w:type="dxa" w:w="6520"/>
          </w:tcPr>
          <w:p>
            <w:pPr>
              <w:pStyle w:val="Celda9RXS"/>
            </w:pPr>
            <w:r/>
            <w:r>
              <w:t>Manejo de las emociones al ganar y al perder, pausas activas, postura, descanso antes de competir y uso equilibrado de las pantallas.</w:t>
            </w:r>
          </w:p>
        </w:tc>
      </w:tr>
      <w:tr>
        <w:tc>
          <w:tcPr>
            <w:tcW w:type="dxa" w:w="3118"/>
          </w:tcPr>
          <w:p>
            <w:pPr>
              <w:pStyle w:val="Celda9RXS"/>
            </w:pPr>
            <w:r/>
            <w:r>
              <w:t>Vivencia de los derechos humanos para la democracia y la paz</w:t>
            </w:r>
          </w:p>
        </w:tc>
        <w:tc>
          <w:tcPr>
            <w:tcW w:type="dxa" w:w="6520"/>
          </w:tcPr>
          <w:p>
            <w:pPr>
              <w:pStyle w:val="Celda9RXS"/>
            </w:pPr>
            <w:r/>
            <w:r>
              <w:t>Respeto a las reglas acordadas, al turno y a la persona rival; solución pacífica de los conflictos en la partida y juego limpio.</w:t>
            </w:r>
          </w:p>
        </w:tc>
      </w:tr>
    </w:tbl>
    <w:p/>
    <w:p>
      <w:pPr>
        <w:jc w:val="both"/>
      </w:pPr>
      <w:r>
        <w:t>Los valores que se cultivan en todas las lecciones son el respeto, la responsabilidad, la honestidad, la solidaridad, la perseverancia, la tolerancia y el juego limpio. Cada unidad destaca uno o dos de ellos.</w:t>
      </w:r>
    </w:p>
    <w:p>
      <w:pPr>
        <w:pStyle w:val="Heading1"/>
      </w:pPr>
      <w:r>
        <w:t>6. Perfil de salida de primer año</w:t>
      </w:r>
    </w:p>
    <w:p>
      <w:r>
        <w:rPr>
          <w:b/>
        </w:rPr>
        <w:t>Conocimientos que se esperan al iniciar el año:</w:t>
      </w:r>
    </w:p>
    <w:p>
      <w:pPr>
        <w:pStyle w:val="ListBullet"/>
      </w:pPr>
      <w:r>
        <w:t>Reconoce los colores blanco y negro, claro y oscuro, y cuenta objetos hasta 10 o más.</w:t>
      </w:r>
    </w:p>
    <w:p>
      <w:pPr>
        <w:pStyle w:val="ListBullet"/>
      </w:pPr>
      <w:r>
        <w:t>Distingue arriba, abajo, adelante, atrás y, con apoyo, derecha e izquierda en su propio cuerpo.</w:t>
      </w:r>
    </w:p>
    <w:p>
      <w:pPr>
        <w:pStyle w:val="ListBullet"/>
      </w:pPr>
      <w:r>
        <w:t>Sigue consignas de uno o dos pasos y espera su turno en juegos de mesa o de patio.</w:t>
      </w:r>
    </w:p>
    <w:p>
      <w:pPr>
        <w:pStyle w:val="ListBullet"/>
      </w:pPr>
      <w:r>
        <w:t>Agrupa y clasifica objetos por forma, color o tamaño.</w:t>
      </w:r>
    </w:p>
    <w:p>
      <w:pPr>
        <w:pStyle w:val="ListBullet"/>
      </w:pPr>
      <w:r>
        <w:t>Comparte material con un compañero o una compañera y lo guarda al terminar, con recordatorio de la persona docente.</w:t>
      </w:r>
    </w:p>
    <w:p>
      <w:r>
        <w:rPr>
          <w:b/>
        </w:rPr>
        <w:t>Al finalizar el año, la persona estudiante:</w:t>
      </w:r>
    </w:p>
    <w:p>
      <w:pPr>
        <w:pStyle w:val="ListBullet"/>
      </w:pPr>
      <w:r>
        <w:t>Coloca el tablero con la casilla blanca a su derecha y distingue filas, columnas y diagonales.</w:t>
      </w:r>
    </w:p>
    <w:p>
      <w:pPr>
        <w:pStyle w:val="ListBullet"/>
      </w:pPr>
      <w:r>
        <w:t>Nombra las seis piezas, dice cuántas hay de cada una y arma la posición inicial con la dama en su color.</w:t>
      </w:r>
    </w:p>
    <w:p>
      <w:pPr>
        <w:pStyle w:val="ListBullet"/>
      </w:pPr>
      <w:r>
        <w:t>Mueve y captura con la torre, el alfil, la dama, el rey, el peón y el caballo según las reglas.</w:t>
      </w:r>
    </w:p>
    <w:p>
      <w:pPr>
        <w:pStyle w:val="ListBullet"/>
      </w:pPr>
      <w:r>
        <w:t>Busca el camino más corto de una pieza hasta una casilla, esquivando obstáculos.</w:t>
      </w:r>
    </w:p>
    <w:p>
      <w:pPr>
        <w:pStyle w:val="ListBullet"/>
      </w:pPr>
      <w:r>
        <w:t>Reconoce el jaque y aplica las tres formas de salir de él: mover el rey, capturar la pieza atacante o tapar.</w:t>
      </w:r>
    </w:p>
    <w:p>
      <w:pPr>
        <w:pStyle w:val="ListBullet"/>
      </w:pPr>
      <w:r>
        <w:t>Explica con sus palabras qué es un jaque mate y lo distingue de un jaque en ejemplos sencillos.</w:t>
      </w:r>
    </w:p>
    <w:p>
      <w:pPr>
        <w:pStyle w:val="ListBullet"/>
      </w:pPr>
      <w:r>
        <w:t>Juega una partida completa respetando turnos, saludando al inicio y al final y cuidando el material.</w:t>
      </w:r>
    </w:p>
    <w:p>
      <w:pPr>
        <w:pStyle w:val="ListBullet"/>
      </w:pPr>
      <w:r>
        <w:t>Nombra las columnas con letras de la «a» a la «h» y las filas con números del 1 al 8.</w:t>
      </w:r>
    </w:p>
    <w:p>
      <w:pPr>
        <w:pStyle w:val="Heading1"/>
      </w:pPr>
      <w:r>
        <w:t>7. Orientaciones metodológicas</w:t>
      </w:r>
    </w:p>
    <w:p>
      <w:pPr>
        <w:jc w:val="both"/>
      </w:pPr>
      <w:r>
        <w:t>En el I Ciclo el aprendizaje entra por el cuerpo y por el cuento: tablero gigante en el piso, piezas que se presentan como personajes, canciones y desplazamientos. Las fichas de colorear y recortar acompañan, no sustituyen, al tablero. La notación aparece de forma gradual, primero nombrando columnas y filas.</w:t>
      </w:r>
    </w:p>
    <w:p>
      <w:pPr>
        <w:jc w:val="both"/>
      </w:pPr>
      <w:r>
        <w:rPr>
          <w:b/>
        </w:rPr>
        <w:t>Organización del aula.</w:t>
      </w:r>
      <w:r>
        <w:t xml:space="preserve"> Las lecciones funcionan mejor con el grupo en parejas, un tablero por pareja y el tablero mural al frente. Cuando no hay tableros suficientes, se juega en equipos de dos contra dos, que además obliga a conversar la jugada antes de hacerla.</w:t>
      </w:r>
    </w:p>
    <w:p>
      <w:pPr>
        <w:jc w:val="both"/>
      </w:pPr>
      <w:r>
        <w:rPr>
          <w:b/>
        </w:rPr>
        <w:t>Material mínimo.</w:t>
      </w:r>
      <w:r>
        <w:t xml:space="preserve"> Un tablero y un juego de piezas por pareja, un tablero mural magnético o de tela, hojas de trabajo y planillas. Desde el II Ciclo, al menos un reloj de ajedrez por cada cuatro estudiantes. Para algunas lecciones de III Ciclo y Diversificada, el laboratorio de informática o un proyector.</w:t>
      </w:r>
    </w:p>
    <w:p>
      <w:pPr>
        <w:jc w:val="both"/>
      </w:pPr>
      <w:r>
        <w:rPr>
          <w:b/>
        </w:rPr>
        <w:t>Diversidad en el aula.</w:t>
      </w:r>
      <w:r>
        <w:t xml:space="preserve"> Cada lección admite tres entradas: quien va empezando trabaja con menos piezas o con ayuda de una compañera o compañero; quien avanza recibe el mismo reto con una condición más; quien ya domina el tema hace de monitor. Para estudiantes con discapacidad visual se usan tableros con relieve y piezas con espiga, y las jugadas se dicen en voz alta con la notación; para quien necesita más tiempo, se reducen los ejercicios sin bajar la exigencia de razonar.</w:t>
      </w:r>
    </w:p>
    <w:p>
      <w:pPr>
        <w:jc w:val="both"/>
      </w:pPr>
      <w:r>
        <w:rPr>
          <w:b/>
        </w:rPr>
        <w:t>Juego y competencia.</w:t>
      </w:r>
      <w:r>
        <w:t xml:space="preserve"> La competencia es un recurso, no el centro. Se juegan partidas y torneos, pero se valora tanto el modo de jugar (anotar, pensar el tiempo necesario, saludar, analizar después) como el resultado.</w:t>
      </w:r>
    </w:p>
    <w:p>
      <w:pPr>
        <w:jc w:val="both"/>
      </w:pPr>
      <w:r>
        <w:rPr>
          <w:b/>
        </w:rPr>
        <w:t>Relación con la familia.</w:t>
      </w:r>
      <w:r>
        <w:t xml:space="preserve"> Varias tareas invitan a jugar en casa con alguien de la familia. Así el aprendizaje sale del aula y la familia conoce lo que se trabaja.</w:t>
      </w:r>
    </w:p>
    <w:p>
      <w:pPr>
        <w:pStyle w:val="Heading1"/>
      </w:pPr>
      <w:r>
        <w:t>8. Orientaciones para la evaluación</w:t>
      </w:r>
    </w:p>
    <w:p>
      <w:pPr>
        <w:jc w:val="both"/>
      </w:pPr>
      <w:r>
        <w:t xml:space="preserve">La evaluación se ajusta al Reglamento de Evaluación de los Aprendizajes vigente. Tiene tres funciones que se complementan: </w:t>
      </w:r>
      <w:r>
        <w:rPr>
          <w:b/>
        </w:rPr>
        <w:t>diagnóstica</w:t>
      </w:r>
      <w:r>
        <w:t xml:space="preserve">, al inicio del curso y de cada unidad, para conocer lo que el grupo trae; </w:t>
      </w:r>
      <w:r>
        <w:rPr>
          <w:b/>
        </w:rPr>
        <w:t>formativa</w:t>
      </w:r>
      <w:r>
        <w:t xml:space="preserve">, casi todos los días, para que cada estudiante sepa cómo va y la persona docente ajuste lo que hace; y </w:t>
      </w:r>
      <w:r>
        <w:rPr>
          <w:b/>
        </w:rPr>
        <w:t>sumativa</w:t>
      </w:r>
      <w:r>
        <w:t>, para certificar el logro de los aprendizajes esperados.</w:t>
      </w:r>
    </w:p>
    <w:p>
      <w:pPr>
        <w:jc w:val="both"/>
      </w:pPr>
      <w:r>
        <w:t>En ajedrez, la evidencia más valiosa es lo que la persona estudiante hace frente al tablero. Por eso predominan la observación con escalas de desempeño y listas de cotejo, la prueba de ejecución (resolver posiciones, jugar con una consigna, demostrar un mate o un final), el análisis escrito de partidas propias y el portafolio. Las pruebas escritas se usan poco y siempre con tablero a la vista.</w:t>
      </w:r>
    </w:p>
    <w:p>
      <w:pPr>
        <w:jc w:val="both"/>
      </w:pPr>
      <w:r>
        <w:t xml:space="preserve">Cada indicador tiene tres niveles de desempeño: </w:t>
      </w:r>
      <w:r>
        <w:rPr>
          <w:b/>
        </w:rPr>
        <w:t>inicial</w:t>
      </w:r>
      <w:r>
        <w:t xml:space="preserve"> (reconoce, menciona, identifica con ayuda), </w:t>
      </w:r>
      <w:r>
        <w:rPr>
          <w:b/>
        </w:rPr>
        <w:t>intermedio</w:t>
      </w:r>
      <w:r>
        <w:t xml:space="preserve"> (describe, ejecuta, aplica en situaciones conocidas) y </w:t>
      </w:r>
      <w:r>
        <w:rPr>
          <w:b/>
        </w:rPr>
        <w:t>avanzado</w:t>
      </w:r>
      <w:r>
        <w:t xml:space="preserve"> (aplica en situaciones nuevas, justifica, crea). La calificación del trabajo cotidiano sale de esos niveles registrados a lo largo de la unidad, no de una sola observación.</w:t>
      </w:r>
    </w:p>
    <w:p>
      <w:pPr>
        <w:jc w:val="both"/>
      </w:pPr>
      <w:r>
        <w:t>Se practican la autoevaluación (la persona estudiante revisa su partida y marca qué hizo bien) y la coevaluación (la pareja comenta la partida con una guía corta). Las adecuaciones curriculares y los apoyos educativos se aplican según lo que establezca el expediente de cada estudiante.</w:t>
      </w:r>
    </w:p>
    <w:p>
      <w:r>
        <w:rPr>
          <w:b/>
        </w:rPr>
        <w:t>Componentes de la calificación</w:t>
      </w:r>
    </w:p>
    <w:tbl>
      <w:tblPr>
        <w:tblStyle w:val="TableGrid"/>
        <w:tblW w:type="auto" w:w="0"/>
        <w:jc w:val="center"/>
        <w:tblLayout w:type="fixed"/>
        <w:tblLook w:firstColumn="1" w:firstRow="1" w:lastColumn="0" w:lastRow="0" w:noHBand="0" w:noVBand="1" w:val="04A0"/>
      </w:tblPr>
      <w:tblGrid>
        <w:gridCol w:w="4535"/>
        <w:gridCol w:w="2268"/>
      </w:tblGrid>
      <w:tr>
        <w:trPr>
          <w:tblHeader w:val="true"/>
        </w:trPr>
        <w:tc>
          <w:tcPr>
            <w:tcW w:type="dxa" w:w="4535"/>
            <w:shd w:val="clear" w:color="auto" w:fill="1F3A5F"/>
          </w:tcPr>
          <w:p>
            <w:pPr>
              <w:pStyle w:val="Celda9NFFFFFFS"/>
            </w:pPr>
            <w:r/>
            <w:r>
              <w:t>Componente</w:t>
            </w:r>
          </w:p>
        </w:tc>
        <w:tc>
          <w:tcPr>
            <w:tcW w:type="dxa" w:w="2268"/>
            <w:shd w:val="clear" w:color="auto" w:fill="1F3A5F"/>
          </w:tcPr>
          <w:p>
            <w:pPr>
              <w:pStyle w:val="Celda9NFFFFFFS"/>
            </w:pPr>
            <w:r/>
            <w:r>
              <w:t>Porcentaje</w:t>
            </w:r>
          </w:p>
        </w:tc>
      </w:tr>
      <w:tr>
        <w:tc>
          <w:tcPr>
            <w:tcW w:type="dxa" w:w="4535"/>
          </w:tcPr>
          <w:p>
            <w:pPr>
              <w:pStyle w:val="Celda9RXS"/>
            </w:pPr>
            <w:r/>
            <w:r>
              <w:t>Trabajo cotidiano</w:t>
            </w:r>
          </w:p>
        </w:tc>
        <w:tc>
          <w:tcPr>
            <w:tcW w:type="dxa" w:w="2268"/>
          </w:tcPr>
          <w:p>
            <w:pPr>
              <w:pStyle w:val="Celda9RXS"/>
            </w:pPr>
            <w:r/>
            <w:r>
              <w:t>50 %</w:t>
            </w:r>
          </w:p>
        </w:tc>
      </w:tr>
      <w:tr>
        <w:tc>
          <w:tcPr>
            <w:tcW w:type="dxa" w:w="4535"/>
          </w:tcPr>
          <w:p>
            <w:pPr>
              <w:pStyle w:val="Celda9RXS"/>
            </w:pPr>
            <w:r/>
            <w:r>
              <w:t>Tareas</w:t>
            </w:r>
          </w:p>
        </w:tc>
        <w:tc>
          <w:tcPr>
            <w:tcW w:type="dxa" w:w="2268"/>
          </w:tcPr>
          <w:p>
            <w:pPr>
              <w:pStyle w:val="Celda9RXS"/>
            </w:pPr>
            <w:r/>
            <w:r>
              <w:t>10 %</w:t>
            </w:r>
          </w:p>
        </w:tc>
      </w:tr>
      <w:tr>
        <w:tc>
          <w:tcPr>
            <w:tcW w:type="dxa" w:w="4535"/>
          </w:tcPr>
          <w:p>
            <w:pPr>
              <w:pStyle w:val="Celda9RXS"/>
            </w:pPr>
            <w:r/>
            <w:r>
              <w:t>Prueba de ejecución</w:t>
            </w:r>
          </w:p>
        </w:tc>
        <w:tc>
          <w:tcPr>
            <w:tcW w:type="dxa" w:w="2268"/>
          </w:tcPr>
          <w:p>
            <w:pPr>
              <w:pStyle w:val="Celda9RXS"/>
            </w:pPr>
            <w:r/>
            <w:r>
              <w:t>30 %</w:t>
            </w:r>
          </w:p>
        </w:tc>
      </w:tr>
      <w:tr>
        <w:tc>
          <w:tcPr>
            <w:tcW w:type="dxa" w:w="4535"/>
          </w:tcPr>
          <w:p>
            <w:pPr>
              <w:pStyle w:val="Celda9RXS"/>
            </w:pPr>
            <w:r/>
            <w:r>
              <w:t>Asistencia</w:t>
            </w:r>
          </w:p>
        </w:tc>
        <w:tc>
          <w:tcPr>
            <w:tcW w:type="dxa" w:w="2268"/>
          </w:tcPr>
          <w:p>
            <w:pPr>
              <w:pStyle w:val="Celda9RXS"/>
            </w:pPr>
            <w:r/>
            <w:r>
              <w:t>10 %</w:t>
            </w:r>
          </w:p>
        </w:tc>
      </w:tr>
    </w:tbl>
    <w:p>
      <w:r>
        <w:rPr>
          <w:i/>
          <w:color w:val="555555"/>
          <w:sz w:val="18"/>
        </w:rPr>
        <w:t>Distribución propuesta para una asignatura de este tipo. La institución la ajusta a lo que disponga el Reglamento de Evaluación de los Aprendizajes vigente y la normativa del nivel.</w:t>
      </w:r>
    </w:p>
    <w:p>
      <w:pPr>
        <w:pStyle w:val="Heading1"/>
      </w:pPr>
      <w:r>
        <w:t>9. Distribución del tiempo</w:t>
      </w:r>
    </w:p>
    <w:p>
      <w:pPr>
        <w:jc w:val="both"/>
      </w:pPr>
      <w:r>
        <w:t>El año se planifica en 40 semanas de 5 lecciones de 40 minutos, para un total de 200 lecciones, distribuidas en dos semestres. Los días marcados como flexibles en el planeamiento permiten ajustar el plan al calendario escolar oficial del año.</w:t>
      </w:r>
    </w:p>
    <w:tbl>
      <w:tblPr>
        <w:tblStyle w:val="TableGrid"/>
        <w:tblW w:type="auto" w:w="0"/>
        <w:jc w:val="center"/>
        <w:tblLayout w:type="fixed"/>
        <w:tblLook w:firstColumn="1" w:firstRow="1" w:lastColumn="0" w:lastRow="0" w:noHBand="0" w:noVBand="1" w:val="04A0"/>
      </w:tblPr>
      <w:tblGrid>
        <w:gridCol w:w="4535"/>
        <w:gridCol w:w="1134"/>
        <w:gridCol w:w="1361"/>
        <w:gridCol w:w="1361"/>
        <w:gridCol w:w="1247"/>
      </w:tblGrid>
      <w:tr>
        <w:trPr>
          <w:tblHeader w:val="true"/>
        </w:trPr>
        <w:tc>
          <w:tcPr>
            <w:tcW w:type="dxa" w:w="4535"/>
            <w:shd w:val="clear" w:color="auto" w:fill="1F3A5F"/>
          </w:tcPr>
          <w:p>
            <w:pPr>
              <w:pStyle w:val="Celda9NFFFFFFS"/>
            </w:pPr>
            <w:r/>
            <w:r>
              <w:t>Unidad</w:t>
            </w:r>
          </w:p>
        </w:tc>
        <w:tc>
          <w:tcPr>
            <w:tcW w:type="dxa" w:w="1134"/>
            <w:shd w:val="clear" w:color="auto" w:fill="1F3A5F"/>
          </w:tcPr>
          <w:p>
            <w:pPr>
              <w:pStyle w:val="Celda9NFFFFFFS"/>
            </w:pPr>
            <w:r/>
            <w:r>
              <w:t>Semestre</w:t>
            </w:r>
          </w:p>
        </w:tc>
        <w:tc>
          <w:tcPr>
            <w:tcW w:type="dxa" w:w="1361"/>
            <w:shd w:val="clear" w:color="auto" w:fill="1F3A5F"/>
          </w:tcPr>
          <w:p>
            <w:pPr>
              <w:pStyle w:val="Celda9NFFFFFFS"/>
            </w:pPr>
            <w:r/>
            <w:r>
              <w:t>Lecciones</w:t>
            </w:r>
          </w:p>
        </w:tc>
        <w:tc>
          <w:tcPr>
            <w:tcW w:type="dxa" w:w="1361"/>
            <w:shd w:val="clear" w:color="auto" w:fill="1F3A5F"/>
          </w:tcPr>
          <w:p>
            <w:pPr>
              <w:pStyle w:val="Celda9NFFFFFFS"/>
            </w:pPr>
            <w:r/>
            <w:r>
              <w:t>Semanas</w:t>
            </w:r>
          </w:p>
        </w:tc>
        <w:tc>
          <w:tcPr>
            <w:tcW w:type="dxa" w:w="1247"/>
            <w:shd w:val="clear" w:color="auto" w:fill="1F3A5F"/>
          </w:tcPr>
          <w:p>
            <w:pPr>
              <w:pStyle w:val="Celda9NFFFFFFS"/>
            </w:pPr>
            <w:r/>
            <w:r>
              <w:t>Total</w:t>
            </w:r>
          </w:p>
        </w:tc>
      </w:tr>
      <w:tr>
        <w:tc>
          <w:tcPr>
            <w:tcW w:type="dxa" w:w="4535"/>
          </w:tcPr>
          <w:p>
            <w:pPr>
              <w:pStyle w:val="Celda9RXS"/>
            </w:pPr>
            <w:r/>
            <w:r>
              <w:t>1. El tablero y sus caminos</w:t>
            </w:r>
          </w:p>
        </w:tc>
        <w:tc>
          <w:tcPr>
            <w:tcW w:type="dxa" w:w="1134"/>
          </w:tcPr>
          <w:p>
            <w:pPr>
              <w:pStyle w:val="Celda9RXS"/>
            </w:pPr>
            <w:r/>
            <w:r>
              <w:t>I</w:t>
            </w:r>
          </w:p>
        </w:tc>
        <w:tc>
          <w:tcPr>
            <w:tcW w:type="dxa" w:w="1361"/>
          </w:tcPr>
          <w:p>
            <w:pPr>
              <w:pStyle w:val="Celda9RXS"/>
            </w:pPr>
            <w:r/>
            <w:r>
              <w:t>1 a 30</w:t>
            </w:r>
          </w:p>
        </w:tc>
        <w:tc>
          <w:tcPr>
            <w:tcW w:type="dxa" w:w="1361"/>
          </w:tcPr>
          <w:p>
            <w:pPr>
              <w:pStyle w:val="Celda9RXS"/>
            </w:pPr>
            <w:r/>
            <w:r>
              <w:t>1 a 6</w:t>
            </w:r>
          </w:p>
        </w:tc>
        <w:tc>
          <w:tcPr>
            <w:tcW w:type="dxa" w:w="1247"/>
          </w:tcPr>
          <w:p>
            <w:pPr>
              <w:pStyle w:val="Celda9RXS"/>
            </w:pPr>
            <w:r/>
            <w:r>
              <w:t>30</w:t>
            </w:r>
          </w:p>
        </w:tc>
      </w:tr>
      <w:tr>
        <w:tc>
          <w:tcPr>
            <w:tcW w:type="dxa" w:w="4535"/>
          </w:tcPr>
          <w:p>
            <w:pPr>
              <w:pStyle w:val="Celda9RXS"/>
            </w:pPr>
            <w:r/>
            <w:r>
              <w:t>2. Las piezas y la posición inicial</w:t>
            </w:r>
          </w:p>
        </w:tc>
        <w:tc>
          <w:tcPr>
            <w:tcW w:type="dxa" w:w="1134"/>
          </w:tcPr>
          <w:p>
            <w:pPr>
              <w:pStyle w:val="Celda9RXS"/>
            </w:pPr>
            <w:r/>
            <w:r>
              <w:t>I</w:t>
            </w:r>
          </w:p>
        </w:tc>
        <w:tc>
          <w:tcPr>
            <w:tcW w:type="dxa" w:w="1361"/>
          </w:tcPr>
          <w:p>
            <w:pPr>
              <w:pStyle w:val="Celda9RXS"/>
            </w:pPr>
            <w:r/>
            <w:r>
              <w:t>31 a 60</w:t>
            </w:r>
          </w:p>
        </w:tc>
        <w:tc>
          <w:tcPr>
            <w:tcW w:type="dxa" w:w="1361"/>
          </w:tcPr>
          <w:p>
            <w:pPr>
              <w:pStyle w:val="Celda9RXS"/>
            </w:pPr>
            <w:r/>
            <w:r>
              <w:t>7 a 12</w:t>
            </w:r>
          </w:p>
        </w:tc>
        <w:tc>
          <w:tcPr>
            <w:tcW w:type="dxa" w:w="1247"/>
          </w:tcPr>
          <w:p>
            <w:pPr>
              <w:pStyle w:val="Celda9RXS"/>
            </w:pPr>
            <w:r/>
            <w:r>
              <w:t>30</w:t>
            </w:r>
          </w:p>
        </w:tc>
      </w:tr>
      <w:tr>
        <w:tc>
          <w:tcPr>
            <w:tcW w:type="dxa" w:w="4535"/>
          </w:tcPr>
          <w:p>
            <w:pPr>
              <w:pStyle w:val="Celda9RXS"/>
            </w:pPr>
            <w:r/>
            <w:r>
              <w:t>3. La torre y el alfil</w:t>
            </w:r>
          </w:p>
        </w:tc>
        <w:tc>
          <w:tcPr>
            <w:tcW w:type="dxa" w:w="1134"/>
          </w:tcPr>
          <w:p>
            <w:pPr>
              <w:pStyle w:val="Celda9RXS"/>
            </w:pPr>
            <w:r/>
            <w:r>
              <w:t>I</w:t>
            </w:r>
          </w:p>
        </w:tc>
        <w:tc>
          <w:tcPr>
            <w:tcW w:type="dxa" w:w="1361"/>
          </w:tcPr>
          <w:p>
            <w:pPr>
              <w:pStyle w:val="Celda9RXS"/>
            </w:pPr>
            <w:r/>
            <w:r>
              <w:t>61 a 100</w:t>
            </w:r>
          </w:p>
        </w:tc>
        <w:tc>
          <w:tcPr>
            <w:tcW w:type="dxa" w:w="1361"/>
          </w:tcPr>
          <w:p>
            <w:pPr>
              <w:pStyle w:val="Celda9RXS"/>
            </w:pPr>
            <w:r/>
            <w:r>
              <w:t>13 a 20</w:t>
            </w:r>
          </w:p>
        </w:tc>
        <w:tc>
          <w:tcPr>
            <w:tcW w:type="dxa" w:w="1247"/>
          </w:tcPr>
          <w:p>
            <w:pPr>
              <w:pStyle w:val="Celda9RXS"/>
            </w:pPr>
            <w:r/>
            <w:r>
              <w:t>40</w:t>
            </w:r>
          </w:p>
        </w:tc>
      </w:tr>
      <w:tr>
        <w:tc>
          <w:tcPr>
            <w:tcW w:type="dxa" w:w="4535"/>
          </w:tcPr>
          <w:p>
            <w:pPr>
              <w:pStyle w:val="Celda9RXS"/>
            </w:pPr>
            <w:r/>
            <w:r>
              <w:t>4. La dama y el rey</w:t>
            </w:r>
          </w:p>
        </w:tc>
        <w:tc>
          <w:tcPr>
            <w:tcW w:type="dxa" w:w="1134"/>
          </w:tcPr>
          <w:p>
            <w:pPr>
              <w:pStyle w:val="Celda9RXS"/>
            </w:pPr>
            <w:r/>
            <w:r>
              <w:t>II</w:t>
            </w:r>
          </w:p>
        </w:tc>
        <w:tc>
          <w:tcPr>
            <w:tcW w:type="dxa" w:w="1361"/>
          </w:tcPr>
          <w:p>
            <w:pPr>
              <w:pStyle w:val="Celda9RXS"/>
            </w:pPr>
            <w:r/>
            <w:r>
              <w:t>101 a 133</w:t>
            </w:r>
          </w:p>
        </w:tc>
        <w:tc>
          <w:tcPr>
            <w:tcW w:type="dxa" w:w="1361"/>
          </w:tcPr>
          <w:p>
            <w:pPr>
              <w:pStyle w:val="Celda9RXS"/>
            </w:pPr>
            <w:r/>
            <w:r>
              <w:t>21 a 27</w:t>
            </w:r>
          </w:p>
        </w:tc>
        <w:tc>
          <w:tcPr>
            <w:tcW w:type="dxa" w:w="1247"/>
          </w:tcPr>
          <w:p>
            <w:pPr>
              <w:pStyle w:val="Celda9RXS"/>
            </w:pPr>
            <w:r/>
            <w:r>
              <w:t>33</w:t>
            </w:r>
          </w:p>
        </w:tc>
      </w:tr>
      <w:tr>
        <w:tc>
          <w:tcPr>
            <w:tcW w:type="dxa" w:w="4535"/>
          </w:tcPr>
          <w:p>
            <w:pPr>
              <w:pStyle w:val="Celda9RXS"/>
            </w:pPr>
            <w:r/>
            <w:r>
              <w:t>5. El peón y el caballo</w:t>
            </w:r>
          </w:p>
        </w:tc>
        <w:tc>
          <w:tcPr>
            <w:tcW w:type="dxa" w:w="1134"/>
          </w:tcPr>
          <w:p>
            <w:pPr>
              <w:pStyle w:val="Celda9RXS"/>
            </w:pPr>
            <w:r/>
            <w:r>
              <w:t>II</w:t>
            </w:r>
          </w:p>
        </w:tc>
        <w:tc>
          <w:tcPr>
            <w:tcW w:type="dxa" w:w="1361"/>
          </w:tcPr>
          <w:p>
            <w:pPr>
              <w:pStyle w:val="Celda9RXS"/>
            </w:pPr>
            <w:r/>
            <w:r>
              <w:t>134 a 166</w:t>
            </w:r>
          </w:p>
        </w:tc>
        <w:tc>
          <w:tcPr>
            <w:tcW w:type="dxa" w:w="1361"/>
          </w:tcPr>
          <w:p>
            <w:pPr>
              <w:pStyle w:val="Celda9RXS"/>
            </w:pPr>
            <w:r/>
            <w:r>
              <w:t>27 a 34</w:t>
            </w:r>
          </w:p>
        </w:tc>
        <w:tc>
          <w:tcPr>
            <w:tcW w:type="dxa" w:w="1247"/>
          </w:tcPr>
          <w:p>
            <w:pPr>
              <w:pStyle w:val="Celda9RXS"/>
            </w:pPr>
            <w:r/>
            <w:r>
              <w:t>33</w:t>
            </w:r>
          </w:p>
        </w:tc>
      </w:tr>
      <w:tr>
        <w:tc>
          <w:tcPr>
            <w:tcW w:type="dxa" w:w="4535"/>
          </w:tcPr>
          <w:p>
            <w:pPr>
              <w:pStyle w:val="Celda9RXS"/>
            </w:pPr>
            <w:r/>
            <w:r>
              <w:t>6. Jaque y mi primera partida</w:t>
            </w:r>
          </w:p>
        </w:tc>
        <w:tc>
          <w:tcPr>
            <w:tcW w:type="dxa" w:w="1134"/>
          </w:tcPr>
          <w:p>
            <w:pPr>
              <w:pStyle w:val="Celda9RXS"/>
            </w:pPr>
            <w:r/>
            <w:r>
              <w:t>II</w:t>
            </w:r>
          </w:p>
        </w:tc>
        <w:tc>
          <w:tcPr>
            <w:tcW w:type="dxa" w:w="1361"/>
          </w:tcPr>
          <w:p>
            <w:pPr>
              <w:pStyle w:val="Celda9RXS"/>
            </w:pPr>
            <w:r/>
            <w:r>
              <w:t>167 a 200</w:t>
            </w:r>
          </w:p>
        </w:tc>
        <w:tc>
          <w:tcPr>
            <w:tcW w:type="dxa" w:w="1361"/>
          </w:tcPr>
          <w:p>
            <w:pPr>
              <w:pStyle w:val="Celda9RXS"/>
            </w:pPr>
            <w:r/>
            <w:r>
              <w:t>34 a 40</w:t>
            </w:r>
          </w:p>
        </w:tc>
        <w:tc>
          <w:tcPr>
            <w:tcW w:type="dxa" w:w="1247"/>
          </w:tcPr>
          <w:p>
            <w:pPr>
              <w:pStyle w:val="Celda9RXS"/>
            </w:pPr>
            <w:r/>
            <w:r>
              <w:t>34</w:t>
            </w:r>
          </w:p>
        </w:tc>
      </w:tr>
    </w:tbl>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Primer año  ·  Parte 1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Primer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9NFFFFFFS">
    <w:name w:val="Celda 9 N FFFFFF S"/>
    <w:basedOn w:val="Normal"/>
    <w:pPr>
      <w:keepNext w:val="0"/>
      <w:spacing w:after="40" w:line="252" w:lineRule="auto"/>
    </w:pPr>
    <w:rPr>
      <w:b/>
      <w:color w:val="FFFFFF"/>
      <w:sz w:val="18"/>
    </w:rPr>
  </w:style>
  <w:style w:type="paragraph" w:customStyle="1" w:styleId="Celda9RXS">
    <w:name w:val="Celda 9 R X S"/>
    <w:basedOn w:val="Normal"/>
    <w:pPr>
      <w:keepNext w:val="0"/>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Estudio de Ajedrez. Primer año</dc:title>
  <dc:subject>Programa de estudio de Ajedrez, Primer año, I Ciclo de la Educación General Básica</dc:subject>
  <dc:creator>Oscar Angulo Cubero</dc:creator>
  <cp:keywords>ajedrez; programa de estudio; primer año; I Ciclo de la Educación General Básica;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