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Segundo año</w:t>
      </w:r>
    </w:p>
    <w:p>
      <w:pPr>
        <w:spacing w:after="80"/>
        <w:jc w:val="center"/>
      </w:pPr>
      <w:r>
        <w:rPr>
          <w:sz w:val="26"/>
        </w:rPr>
        <w:t>I Ciclo de la Educación General Básica</w:t>
      </w:r>
    </w:p>
    <w:p>
      <w:pPr>
        <w:spacing w:after="1200"/>
        <w:jc w:val="center"/>
      </w:pPr>
      <w:r>
        <w:rPr>
          <w:color w:val="555555"/>
          <w:sz w:val="22"/>
        </w:rPr>
        <w:t>Edad de referencia: 7 a 8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segundo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segundo año del 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segundo año</w:t>
      </w:r>
    </w:p>
    <w:p>
      <w:pPr>
        <w:jc w:val="both"/>
      </w:pPr>
      <w:r>
        <w:t>En segundo año la persona estudiante ya conoce el tablero, sabe colocar las piezas y mueve cada una de ellas. Este programa toma ese punto de partida y le pone nombre a cada casilla: con letras y números, al estilo del juego de los barcos, el niño y la niña aprenden a decir dónde está una pieza y adónde va. Ese lenguaje común abre la puerta a todo lo que viene después, desde un dictado de jugadas hasta la planilla que se usará en tercer año.</w:t>
      </w:r>
    </w:p>
    <w:p>
      <w:pPr>
        <w:jc w:val="both"/>
      </w:pPr>
      <w:r>
        <w:t>El centro del año es la captura y su consecuencia: si puedo capturar, también me pueden capturar. Por eso se trabaja qué casillas ataca cada pieza, cuáles piezas quedan sin defensa y cuánto vale cada una, para decidir si un cambio conviene. En el II semestre llegan los movimientos especiales (coronación, captura al paso y enroque), el jaque, el jaque mate y las tablas por rey ahogado, y el año cierra con los primeros mates (la escalera con dos torres y con dama y torre) y un torneo de aula.</w:t>
      </w:r>
    </w:p>
    <w:p>
      <w:pPr>
        <w:jc w:val="both"/>
      </w:pPr>
      <w:r>
        <w:t>La fuente principal es Ajedrez en el aula 2 (Anguix, Ballester, Bueno y Gascó), con apoyo del Manual 1 de Guil Russek para las reglas. A esta edad se aprende jugando: minijuegos de captura con pocas piezas, el tablero gigante en el piso, historias de las piezas y la leyenda de Sissa. Las partidas completas aparecen con fuerza en la segunda mitad del año, cuando la persona estudiante ya sabe cuidar sus piezas y reconoce el final de una partida.</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segundo año</w:t>
      </w:r>
    </w:p>
    <w:p>
      <w:r>
        <w:rPr>
          <w:b/>
        </w:rPr>
        <w:t>Conocimientos que se esperan al iniciar el año:</w:t>
      </w:r>
    </w:p>
    <w:p>
      <w:pPr>
        <w:pStyle w:val="ListBullet"/>
      </w:pPr>
      <w:r>
        <w:t>Coloca el tablero con la casilla blanca a la derecha y distingue filas, columnas y diagonales.</w:t>
      </w:r>
    </w:p>
    <w:p>
      <w:pPr>
        <w:pStyle w:val="ListBullet"/>
      </w:pPr>
      <w:r>
        <w:t>Nombra las seis piezas y las coloca en su posición inicial («la dama en su color»).</w:t>
      </w:r>
    </w:p>
    <w:p>
      <w:pPr>
        <w:pStyle w:val="ListBullet"/>
      </w:pPr>
      <w:r>
        <w:t>Mueve la torre, el alfil, la dama, el rey, el peón y el caballo, aunque todavía con dudas en el caballo y en la captura del peón.</w:t>
      </w:r>
    </w:p>
    <w:p>
      <w:pPr>
        <w:pStyle w:val="ListBullet"/>
      </w:pPr>
      <w:r>
        <w:t>Reconoce cuándo un rey está en jaque, sin dominar todavía las formas de salir.</w:t>
      </w:r>
    </w:p>
    <w:p>
      <w:pPr>
        <w:pStyle w:val="ListBullet"/>
      </w:pPr>
      <w:r>
        <w:t>Ha jugado minijuegos con pocas piezas (guerra de peones, el caballo hambriento) y alguna partida completa sencilla.</w:t>
      </w:r>
    </w:p>
    <w:p>
      <w:r>
        <w:rPr>
          <w:b/>
        </w:rPr>
        <w:t>Al finalizar el año, la persona estudiante:</w:t>
      </w:r>
    </w:p>
    <w:p>
      <w:pPr>
        <w:pStyle w:val="ListBullet"/>
      </w:pPr>
      <w:r>
        <w:t>Nombra cualquier casilla del tablero con su letra y su número, y la encuentra cuando se la dictan.</w:t>
      </w:r>
    </w:p>
    <w:p>
      <w:pPr>
        <w:pStyle w:val="ListBullet"/>
      </w:pPr>
      <w:r>
        <w:t>Coloca la posición inicial completa y describe el movimiento de cada pieza usando el nombre de las casillas.</w:t>
      </w:r>
    </w:p>
    <w:p>
      <w:pPr>
        <w:pStyle w:val="ListBullet"/>
      </w:pPr>
      <w:r>
        <w:t>Reconoce qué casillas ataca cada pieza y distingue una pieza defendida de una indefensa.</w:t>
      </w:r>
    </w:p>
    <w:p>
      <w:pPr>
        <w:pStyle w:val="ListBullet"/>
      </w:pPr>
      <w:r>
        <w:t>Defiende una pieza atacada retirándola, protegiéndola, tapando el ataque o capturando a la atacante.</w:t>
      </w:r>
    </w:p>
    <w:p>
      <w:pPr>
        <w:pStyle w:val="ListBullet"/>
      </w:pPr>
      <w:r>
        <w:t>Usa el valor de las piezas para decidir si un cambio le conviene.</w:t>
      </w:r>
    </w:p>
    <w:p>
      <w:pPr>
        <w:pStyle w:val="ListBullet"/>
      </w:pPr>
      <w:r>
        <w:t>Corona un peón, realiza la captura al paso y enroca corto y largo cumpliendo las condiciones.</w:t>
      </w:r>
    </w:p>
    <w:p>
      <w:pPr>
        <w:pStyle w:val="ListBullet"/>
      </w:pPr>
      <w:r>
        <w:t>Distingue jaque, jaque mate y rey ahogado, y sabe las tres formas de salir del jaque.</w:t>
      </w:r>
    </w:p>
    <w:p>
      <w:pPr>
        <w:pStyle w:val="ListBullet"/>
      </w:pPr>
      <w:r>
        <w:t>Da mate con dos torres y con dama y torre contra el rey solo.</w:t>
      </w:r>
    </w:p>
    <w:p>
      <w:pPr>
        <w:pStyle w:val="ListBullet"/>
      </w:pPr>
      <w:r>
        <w:t>Juega partidas completas respetando las reglas, los turnos y a su rival, gane, pierda o empate.</w:t>
      </w:r>
    </w:p>
    <w:p>
      <w:pPr>
        <w:pStyle w:val="Heading1"/>
      </w:pPr>
      <w:r>
        <w:t>7. Orientaciones metodológicas</w:t>
      </w:r>
    </w:p>
    <w:p>
      <w:pPr>
        <w:jc w:val="both"/>
      </w:pPr>
      <w:r>
        <w:t>En el I Ciclo el aprendizaje entra por el cuerpo y por el cuento: tablero gigante en el piso, piezas que se presentan como personajes, canciones y desplazamientos. Las fichas de colorear y recortar acompañan, no sustituyen, al tablero. La notación aparece de forma gradual, primero nombrando columnas y filas.</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50 %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Repaso del tablero y el nombre de las casillas</w:t>
            </w:r>
          </w:p>
        </w:tc>
        <w:tc>
          <w:tcPr>
            <w:tcW w:type="dxa" w:w="1134"/>
          </w:tcPr>
          <w:p>
            <w:pPr>
              <w:pStyle w:val="Celda9RXS"/>
            </w:pPr>
            <w:r/>
            <w:r>
              <w:t>I</w:t>
            </w:r>
          </w:p>
        </w:tc>
        <w:tc>
          <w:tcPr>
            <w:tcW w:type="dxa" w:w="1361"/>
          </w:tcPr>
          <w:p>
            <w:pPr>
              <w:pStyle w:val="Celda9RXS"/>
            </w:pPr>
            <w:r/>
            <w:r>
              <w:t>1 a 30</w:t>
            </w:r>
          </w:p>
        </w:tc>
        <w:tc>
          <w:tcPr>
            <w:tcW w:type="dxa" w:w="1361"/>
          </w:tcPr>
          <w:p>
            <w:pPr>
              <w:pStyle w:val="Celda9RXS"/>
            </w:pPr>
            <w:r/>
            <w:r>
              <w:t>1 a 6</w:t>
            </w:r>
          </w:p>
        </w:tc>
        <w:tc>
          <w:tcPr>
            <w:tcW w:type="dxa" w:w="1247"/>
          </w:tcPr>
          <w:p>
            <w:pPr>
              <w:pStyle w:val="Celda9RXS"/>
            </w:pPr>
            <w:r/>
            <w:r>
              <w:t>30</w:t>
            </w:r>
          </w:p>
        </w:tc>
      </w:tr>
      <w:tr>
        <w:tc>
          <w:tcPr>
            <w:tcW w:type="dxa" w:w="4535"/>
          </w:tcPr>
          <w:p>
            <w:pPr>
              <w:pStyle w:val="Celda9RXS"/>
            </w:pPr>
            <w:r/>
            <w:r>
              <w:t>2. Capturar y defender</w:t>
            </w:r>
          </w:p>
        </w:tc>
        <w:tc>
          <w:tcPr>
            <w:tcW w:type="dxa" w:w="1134"/>
          </w:tcPr>
          <w:p>
            <w:pPr>
              <w:pStyle w:val="Celda9RXS"/>
            </w:pPr>
            <w:r/>
            <w:r>
              <w:t>I</w:t>
            </w:r>
          </w:p>
        </w:tc>
        <w:tc>
          <w:tcPr>
            <w:tcW w:type="dxa" w:w="1361"/>
          </w:tcPr>
          <w:p>
            <w:pPr>
              <w:pStyle w:val="Celda9RXS"/>
            </w:pPr>
            <w:r/>
            <w:r>
              <w:t>31 a 65</w:t>
            </w:r>
          </w:p>
        </w:tc>
        <w:tc>
          <w:tcPr>
            <w:tcW w:type="dxa" w:w="1361"/>
          </w:tcPr>
          <w:p>
            <w:pPr>
              <w:pStyle w:val="Celda9RXS"/>
            </w:pPr>
            <w:r/>
            <w:r>
              <w:t>7 a 13</w:t>
            </w:r>
          </w:p>
        </w:tc>
        <w:tc>
          <w:tcPr>
            <w:tcW w:type="dxa" w:w="1247"/>
          </w:tcPr>
          <w:p>
            <w:pPr>
              <w:pStyle w:val="Celda9RXS"/>
            </w:pPr>
            <w:r/>
            <w:r>
              <w:t>35</w:t>
            </w:r>
          </w:p>
        </w:tc>
      </w:tr>
      <w:tr>
        <w:tc>
          <w:tcPr>
            <w:tcW w:type="dxa" w:w="4535"/>
          </w:tcPr>
          <w:p>
            <w:pPr>
              <w:pStyle w:val="Celda9RXS"/>
            </w:pPr>
            <w:r/>
            <w:r>
              <w:t>3. El valor de las piezas y los cambios</w:t>
            </w:r>
          </w:p>
        </w:tc>
        <w:tc>
          <w:tcPr>
            <w:tcW w:type="dxa" w:w="1134"/>
          </w:tcPr>
          <w:p>
            <w:pPr>
              <w:pStyle w:val="Celda9RXS"/>
            </w:pPr>
            <w:r/>
            <w:r>
              <w:t>I</w:t>
            </w:r>
          </w:p>
        </w:tc>
        <w:tc>
          <w:tcPr>
            <w:tcW w:type="dxa" w:w="1361"/>
          </w:tcPr>
          <w:p>
            <w:pPr>
              <w:pStyle w:val="Celda9RXS"/>
            </w:pPr>
            <w:r/>
            <w:r>
              <w:t>66 a 100</w:t>
            </w:r>
          </w:p>
        </w:tc>
        <w:tc>
          <w:tcPr>
            <w:tcW w:type="dxa" w:w="1361"/>
          </w:tcPr>
          <w:p>
            <w:pPr>
              <w:pStyle w:val="Celda9RXS"/>
            </w:pPr>
            <w:r/>
            <w:r>
              <w:t>14 a 20</w:t>
            </w:r>
          </w:p>
        </w:tc>
        <w:tc>
          <w:tcPr>
            <w:tcW w:type="dxa" w:w="1247"/>
          </w:tcPr>
          <w:p>
            <w:pPr>
              <w:pStyle w:val="Celda9RXS"/>
            </w:pPr>
            <w:r/>
            <w:r>
              <w:t>35</w:t>
            </w:r>
          </w:p>
        </w:tc>
      </w:tr>
      <w:tr>
        <w:tc>
          <w:tcPr>
            <w:tcW w:type="dxa" w:w="4535"/>
          </w:tcPr>
          <w:p>
            <w:pPr>
              <w:pStyle w:val="Celda9RXS"/>
            </w:pPr>
            <w:r/>
            <w:r>
              <w:t>4. Movimientos especiales: coronación, captura al paso y enroque</w:t>
            </w:r>
          </w:p>
        </w:tc>
        <w:tc>
          <w:tcPr>
            <w:tcW w:type="dxa" w:w="1134"/>
          </w:tcPr>
          <w:p>
            <w:pPr>
              <w:pStyle w:val="Celda9RXS"/>
            </w:pPr>
            <w:r/>
            <w:r>
              <w:t>II</w:t>
            </w:r>
          </w:p>
        </w:tc>
        <w:tc>
          <w:tcPr>
            <w:tcW w:type="dxa" w:w="1361"/>
          </w:tcPr>
          <w:p>
            <w:pPr>
              <w:pStyle w:val="Celda9RXS"/>
            </w:pPr>
            <w:r/>
            <w:r>
              <w:t>101 a 133</w:t>
            </w:r>
          </w:p>
        </w:tc>
        <w:tc>
          <w:tcPr>
            <w:tcW w:type="dxa" w:w="1361"/>
          </w:tcPr>
          <w:p>
            <w:pPr>
              <w:pStyle w:val="Celda9RXS"/>
            </w:pPr>
            <w:r/>
            <w:r>
              <w:t>21 a 27</w:t>
            </w:r>
          </w:p>
        </w:tc>
        <w:tc>
          <w:tcPr>
            <w:tcW w:type="dxa" w:w="1247"/>
          </w:tcPr>
          <w:p>
            <w:pPr>
              <w:pStyle w:val="Celda9RXS"/>
            </w:pPr>
            <w:r/>
            <w:r>
              <w:t>33</w:t>
            </w:r>
          </w:p>
        </w:tc>
      </w:tr>
      <w:tr>
        <w:tc>
          <w:tcPr>
            <w:tcW w:type="dxa" w:w="4535"/>
          </w:tcPr>
          <w:p>
            <w:pPr>
              <w:pStyle w:val="Celda9RXS"/>
            </w:pPr>
            <w:r/>
            <w:r>
              <w:t>5. Jaque, jaque mate y tablas</w:t>
            </w:r>
          </w:p>
        </w:tc>
        <w:tc>
          <w:tcPr>
            <w:tcW w:type="dxa" w:w="1134"/>
          </w:tcPr>
          <w:p>
            <w:pPr>
              <w:pStyle w:val="Celda9RXS"/>
            </w:pPr>
            <w:r/>
            <w:r>
              <w:t>II</w:t>
            </w:r>
          </w:p>
        </w:tc>
        <w:tc>
          <w:tcPr>
            <w:tcW w:type="dxa" w:w="1361"/>
          </w:tcPr>
          <w:p>
            <w:pPr>
              <w:pStyle w:val="Celda9RXS"/>
            </w:pPr>
            <w:r/>
            <w:r>
              <w:t>134 a 166</w:t>
            </w:r>
          </w:p>
        </w:tc>
        <w:tc>
          <w:tcPr>
            <w:tcW w:type="dxa" w:w="1361"/>
          </w:tcPr>
          <w:p>
            <w:pPr>
              <w:pStyle w:val="Celda9RXS"/>
            </w:pPr>
            <w:r/>
            <w:r>
              <w:t>27 a 34</w:t>
            </w:r>
          </w:p>
        </w:tc>
        <w:tc>
          <w:tcPr>
            <w:tcW w:type="dxa" w:w="1247"/>
          </w:tcPr>
          <w:p>
            <w:pPr>
              <w:pStyle w:val="Celda9RXS"/>
            </w:pPr>
            <w:r/>
            <w:r>
              <w:t>33</w:t>
            </w:r>
          </w:p>
        </w:tc>
      </w:tr>
      <w:tr>
        <w:tc>
          <w:tcPr>
            <w:tcW w:type="dxa" w:w="4535"/>
          </w:tcPr>
          <w:p>
            <w:pPr>
              <w:pStyle w:val="Celda9RXS"/>
            </w:pPr>
            <w:r/>
            <w:r>
              <w:t>6. Mis primeros mates y el torneo de aula</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Segundo año</dc:title>
  <dc:subject>Programa de estudio de Ajedrez, Segundo año, I Ciclo de la Educación General Básica</dc:subject>
  <dc:creator>Oscar Angulo Cubero</dc:creator>
  <cp:keywords>ajedrez; programa de estudio; segundo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