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Tercer año</w:t>
      </w:r>
    </w:p>
    <w:p>
      <w:pPr>
        <w:spacing w:after="80"/>
        <w:jc w:val="center"/>
      </w:pPr>
      <w:r>
        <w:rPr>
          <w:sz w:val="26"/>
        </w:rPr>
        <w:t>I Ciclo de la Educación General Básica</w:t>
      </w:r>
    </w:p>
    <w:p>
      <w:pPr>
        <w:spacing w:after="1200"/>
        <w:jc w:val="center"/>
      </w:pPr>
      <w:r>
        <w:rPr>
          <w:color w:val="555555"/>
          <w:sz w:val="22"/>
        </w:rPr>
        <w:t>Edad de referencia: 8 a 9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tercer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tercer año del 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tercer año</w:t>
      </w:r>
    </w:p>
    <w:p>
      <w:pPr>
        <w:jc w:val="both"/>
      </w:pPr>
      <w:r>
        <w:t>En tercer año la persona estudiante ya juega partidas completas. Trae de segundo año el nombre de cada casilla, el valor de las piezas, la coronación, la captura al paso y el enroque, y la diferencia entre jaque, jaque mate y rey ahogado. También trae sus primeros mates con dos torres y con dama y torre. Lo que todavía no tiene es memoria escrita de sus partidas: juega, gana o pierde, y al día siguiente no recuerda qué pasó. Este año le da esa memoria con la notación algebraica y la planilla, que se introducen poco a poco: primero una jugada, luego cinco, luego diez, hasta anotar una partida corta completa al final del I semestre.</w:t>
      </w:r>
    </w:p>
    <w:p>
      <w:pPr>
        <w:jc w:val="both"/>
      </w:pPr>
      <w:r>
        <w:t>El programa sigue las unidades 1 a 5 de «Ajedrez en el aula 3» (Anguix, Ballester, Bueno y Gascó) y las reglas del «Manual 1» de Guil Russek, ajustadas a las Leyes del Ajedrez de la FIDE. El I semestre trabaja la notación, el jaque mate en una jugada con cada pieza, los mates con dos piezas y las formas de tablas, junto con las normas de conducta de un torneo (pieza tocada, pieza movida; saludo; silencio). El II semestre pasa al uso práctico de cada pieza, a las reglas de oro de la apertura con los mates rápidos del «Manual 2» (mate del loco, mate del pastor, mate de Légal) y cierra con los mates básicos de dama y rey contra rey y de torre y rey contra rey, y un torneo de aula con planilla.</w:t>
      </w:r>
    </w:p>
    <w:p>
      <w:pPr>
        <w:jc w:val="both"/>
      </w:pPr>
      <w:r>
        <w:t>Los juegos siguen presentes, porque a esta edad se aprende jugando, pero cada semana hay más partida real: partidas que empiezan desde una posición dada, partidas con anotador, mini torneos en parejas. Al terminar el año la persona estudiante anota sus partidas, da mate con las piezas pesadas contra el rey solo y abre con un plan sencillo. En cuarto año retomará la notación para jugar con reloj y empezará los temas tácticos: ataque doble, clavada, descubierta y los finales de peones.</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tercer año</w:t>
      </w:r>
    </w:p>
    <w:p>
      <w:r>
        <w:rPr>
          <w:b/>
        </w:rPr>
        <w:t>Conocimientos que se esperan al iniciar el año:</w:t>
      </w:r>
    </w:p>
    <w:p>
      <w:pPr>
        <w:pStyle w:val="ListBullet"/>
      </w:pPr>
      <w:r>
        <w:t>Nombra cualquier casilla del tablero por su letra y su número (por ejemplo, e4 o h7).</w:t>
      </w:r>
    </w:p>
    <w:p>
      <w:pPr>
        <w:pStyle w:val="ListBullet"/>
      </w:pPr>
      <w:r>
        <w:t>Mueve y captura con todas las piezas, incluida la captura del peón en diagonal y su paso doble de salida.</w:t>
      </w:r>
    </w:p>
    <w:p>
      <w:pPr>
        <w:pStyle w:val="ListBullet"/>
      </w:pPr>
      <w:r>
        <w:t>Conoce la coronación, la captura al paso y el enroque corto y largo con sus condiciones.</w:t>
      </w:r>
    </w:p>
    <w:p>
      <w:pPr>
        <w:pStyle w:val="ListBullet"/>
      </w:pPr>
      <w:r>
        <w:t>Conoce el valor de las piezas (peón 1, caballo 3, alfil 3, torre 5, dama 9) y cuenta material antes de un cambio.</w:t>
      </w:r>
    </w:p>
    <w:p>
      <w:pPr>
        <w:pStyle w:val="ListBullet"/>
      </w:pPr>
      <w:r>
        <w:t>Distingue jaque, jaque mate y rey ahogado en posiciones sencillas.</w:t>
      </w:r>
    </w:p>
    <w:p>
      <w:pPr>
        <w:pStyle w:val="ListBullet"/>
      </w:pPr>
      <w:r>
        <w:t>Ha dado mate con dos torres (mate de la escalera) y con dama y torre, con ayuda de la persona docente.</w:t>
      </w:r>
    </w:p>
    <w:p>
      <w:r>
        <w:rPr>
          <w:b/>
        </w:rPr>
        <w:t>Al finalizar el año, la persona estudiante:</w:t>
      </w:r>
    </w:p>
    <w:p>
      <w:pPr>
        <w:pStyle w:val="ListBullet"/>
      </w:pPr>
      <w:r>
        <w:t>Escribe y lee jugadas en notación algebraica en español (R, D, T, A, C y el peón sin letra), con los signos x, +, #, O-O, O-O-O y la coronación.</w:t>
      </w:r>
    </w:p>
    <w:p>
      <w:pPr>
        <w:pStyle w:val="ListBullet"/>
      </w:pPr>
      <w:r>
        <w:t>Anota en la planilla una partida corta completa, con encabezado y resultado, y la reproduce en el tablero.</w:t>
      </w:r>
    </w:p>
    <w:p>
      <w:pPr>
        <w:pStyle w:val="ListBullet"/>
      </w:pPr>
      <w:r>
        <w:t>Distingue jaque de jaque mate y encuentra mates en una jugada con cualquier pieza, revisando primero todos los jaques posibles.</w:t>
      </w:r>
    </w:p>
    <w:p>
      <w:pPr>
        <w:pStyle w:val="ListBullet"/>
      </w:pPr>
      <w:r>
        <w:t>Reconoce las formas de tablas (rey ahogado, triple repetición, jaque perpetuo, material insuficiente, acuerdo y la idea de las 50 jugadas) y las aplica en sus partidas.</w:t>
      </w:r>
    </w:p>
    <w:p>
      <w:pPr>
        <w:pStyle w:val="ListBullet"/>
      </w:pPr>
      <w:r>
        <w:t>Juega respetando el reglamento básico: pieza tocada, pieza movida; «compongo» antes de acomodar; saludo al inicio y al final; silencio durante la partida.</w:t>
      </w:r>
    </w:p>
    <w:p>
      <w:pPr>
        <w:pStyle w:val="ListBullet"/>
      </w:pPr>
      <w:r>
        <w:t>Explica para qué sirve mejor cada pieza (torre en columna abierta, caballo al centro, dama sin salir temprano, rey activo en el final) y cuándo le conviene un cambio.</w:t>
      </w:r>
    </w:p>
    <w:p>
      <w:pPr>
        <w:pStyle w:val="ListBullet"/>
      </w:pPr>
      <w:r>
        <w:t>Aplica las reglas de oro de la apertura y sabe defenderse del mate del pastor y del mate del loco.</w:t>
      </w:r>
    </w:p>
    <w:p>
      <w:pPr>
        <w:pStyle w:val="ListBullet"/>
      </w:pPr>
      <w:r>
        <w:t>Da jaque mate con dama y rey contra rey y con torre y rey contra rey, sin ahogar al rey contrario.</w:t>
      </w:r>
    </w:p>
    <w:p>
      <w:pPr>
        <w:pStyle w:val="ListBullet"/>
      </w:pPr>
      <w:r>
        <w:t>Participa en un torneo de aula con planilla, acepta el resultado y felicita a su rival.</w:t>
      </w:r>
    </w:p>
    <w:p>
      <w:pPr>
        <w:pStyle w:val="Heading1"/>
      </w:pPr>
      <w:r>
        <w:t>7. Orientaciones metodológicas</w:t>
      </w:r>
    </w:p>
    <w:p>
      <w:pPr>
        <w:jc w:val="both"/>
      </w:pPr>
      <w:r>
        <w:t>En el I Ciclo el aprendizaje entra por el cuerpo y por el cuento: tablero gigante en el piso, piezas que se presentan como personajes, canciones y desplazamientos. Las fichas de colorear y recortar acompañan, no sustituyen, al tablero. La notación aparece de forma gradual, primero nombrando columnas y filas.</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50 %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30 %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Notación algebraica y la planilla</w:t>
            </w:r>
          </w:p>
        </w:tc>
        <w:tc>
          <w:tcPr>
            <w:tcW w:type="dxa" w:w="1134"/>
          </w:tcPr>
          <w:p>
            <w:pPr>
              <w:pStyle w:val="Celda9RXS"/>
            </w:pPr>
            <w:r/>
            <w:r>
              <w:t>I</w:t>
            </w:r>
          </w:p>
        </w:tc>
        <w:tc>
          <w:tcPr>
            <w:tcW w:type="dxa" w:w="1361"/>
          </w:tcPr>
          <w:p>
            <w:pPr>
              <w:pStyle w:val="Celda9RXS"/>
            </w:pPr>
            <w:r/>
            <w:r>
              <w:t>1 a 33</w:t>
            </w:r>
          </w:p>
        </w:tc>
        <w:tc>
          <w:tcPr>
            <w:tcW w:type="dxa" w:w="1361"/>
          </w:tcPr>
          <w:p>
            <w:pPr>
              <w:pStyle w:val="Celda9RXS"/>
            </w:pPr>
            <w:r/>
            <w:r>
              <w:t>1 a 7</w:t>
            </w:r>
          </w:p>
        </w:tc>
        <w:tc>
          <w:tcPr>
            <w:tcW w:type="dxa" w:w="1247"/>
          </w:tcPr>
          <w:p>
            <w:pPr>
              <w:pStyle w:val="Celda9RXS"/>
            </w:pPr>
            <w:r/>
            <w:r>
              <w:t>33</w:t>
            </w:r>
          </w:p>
        </w:tc>
      </w:tr>
      <w:tr>
        <w:tc>
          <w:tcPr>
            <w:tcW w:type="dxa" w:w="4535"/>
          </w:tcPr>
          <w:p>
            <w:pPr>
              <w:pStyle w:val="Celda9RXS"/>
            </w:pPr>
            <w:r/>
            <w:r>
              <w:t>2. El jaque mate en una y los mates con dos piezas</w:t>
            </w:r>
          </w:p>
        </w:tc>
        <w:tc>
          <w:tcPr>
            <w:tcW w:type="dxa" w:w="1134"/>
          </w:tcPr>
          <w:p>
            <w:pPr>
              <w:pStyle w:val="Celda9RXS"/>
            </w:pPr>
            <w:r/>
            <w:r>
              <w:t>I</w:t>
            </w:r>
          </w:p>
        </w:tc>
        <w:tc>
          <w:tcPr>
            <w:tcW w:type="dxa" w:w="1361"/>
          </w:tcPr>
          <w:p>
            <w:pPr>
              <w:pStyle w:val="Celda9RXS"/>
            </w:pPr>
            <w:r/>
            <w:r>
              <w:t>34 a 66</w:t>
            </w:r>
          </w:p>
        </w:tc>
        <w:tc>
          <w:tcPr>
            <w:tcW w:type="dxa" w:w="1361"/>
          </w:tcPr>
          <w:p>
            <w:pPr>
              <w:pStyle w:val="Celda9RXS"/>
            </w:pPr>
            <w:r/>
            <w:r>
              <w:t>7 a 14</w:t>
            </w:r>
          </w:p>
        </w:tc>
        <w:tc>
          <w:tcPr>
            <w:tcW w:type="dxa" w:w="1247"/>
          </w:tcPr>
          <w:p>
            <w:pPr>
              <w:pStyle w:val="Celda9RXS"/>
            </w:pPr>
            <w:r/>
            <w:r>
              <w:t>33</w:t>
            </w:r>
          </w:p>
        </w:tc>
      </w:tr>
      <w:tr>
        <w:tc>
          <w:tcPr>
            <w:tcW w:type="dxa" w:w="4535"/>
          </w:tcPr>
          <w:p>
            <w:pPr>
              <w:pStyle w:val="Celda9RXS"/>
            </w:pPr>
            <w:r/>
            <w:r>
              <w:t>3. Las tablas y el reglamento básico</w:t>
            </w:r>
          </w:p>
        </w:tc>
        <w:tc>
          <w:tcPr>
            <w:tcW w:type="dxa" w:w="1134"/>
          </w:tcPr>
          <w:p>
            <w:pPr>
              <w:pStyle w:val="Celda9RXS"/>
            </w:pPr>
            <w:r/>
            <w:r>
              <w:t>I</w:t>
            </w:r>
          </w:p>
        </w:tc>
        <w:tc>
          <w:tcPr>
            <w:tcW w:type="dxa" w:w="1361"/>
          </w:tcPr>
          <w:p>
            <w:pPr>
              <w:pStyle w:val="Celda9RXS"/>
            </w:pPr>
            <w:r/>
            <w:r>
              <w:t>67 a 100</w:t>
            </w:r>
          </w:p>
        </w:tc>
        <w:tc>
          <w:tcPr>
            <w:tcW w:type="dxa" w:w="1361"/>
          </w:tcPr>
          <w:p>
            <w:pPr>
              <w:pStyle w:val="Celda9RXS"/>
            </w:pPr>
            <w:r/>
            <w:r>
              <w:t>14 a 20</w:t>
            </w:r>
          </w:p>
        </w:tc>
        <w:tc>
          <w:tcPr>
            <w:tcW w:type="dxa" w:w="1247"/>
          </w:tcPr>
          <w:p>
            <w:pPr>
              <w:pStyle w:val="Celda9RXS"/>
            </w:pPr>
            <w:r/>
            <w:r>
              <w:t>34</w:t>
            </w:r>
          </w:p>
        </w:tc>
      </w:tr>
      <w:tr>
        <w:tc>
          <w:tcPr>
            <w:tcW w:type="dxa" w:w="4535"/>
          </w:tcPr>
          <w:p>
            <w:pPr>
              <w:pStyle w:val="Celda9RXS"/>
            </w:pPr>
            <w:r/>
            <w:r>
              <w:t>4. Uso y valor práctico de cada pieza</w:t>
            </w:r>
          </w:p>
        </w:tc>
        <w:tc>
          <w:tcPr>
            <w:tcW w:type="dxa" w:w="1134"/>
          </w:tcPr>
          <w:p>
            <w:pPr>
              <w:pStyle w:val="Celda9RXS"/>
            </w:pPr>
            <w:r/>
            <w:r>
              <w:t>II</w:t>
            </w:r>
          </w:p>
        </w:tc>
        <w:tc>
          <w:tcPr>
            <w:tcW w:type="dxa" w:w="1361"/>
          </w:tcPr>
          <w:p>
            <w:pPr>
              <w:pStyle w:val="Celda9RXS"/>
            </w:pPr>
            <w:r/>
            <w:r>
              <w:t>101 a 133</w:t>
            </w:r>
          </w:p>
        </w:tc>
        <w:tc>
          <w:tcPr>
            <w:tcW w:type="dxa" w:w="1361"/>
          </w:tcPr>
          <w:p>
            <w:pPr>
              <w:pStyle w:val="Celda9RXS"/>
            </w:pPr>
            <w:r/>
            <w:r>
              <w:t>21 a 27</w:t>
            </w:r>
          </w:p>
        </w:tc>
        <w:tc>
          <w:tcPr>
            <w:tcW w:type="dxa" w:w="1247"/>
          </w:tcPr>
          <w:p>
            <w:pPr>
              <w:pStyle w:val="Celda9RXS"/>
            </w:pPr>
            <w:r/>
            <w:r>
              <w:t>33</w:t>
            </w:r>
          </w:p>
        </w:tc>
      </w:tr>
      <w:tr>
        <w:tc>
          <w:tcPr>
            <w:tcW w:type="dxa" w:w="4535"/>
          </w:tcPr>
          <w:p>
            <w:pPr>
              <w:pStyle w:val="Celda9RXS"/>
            </w:pPr>
            <w:r/>
            <w:r>
              <w:t>5. La apertura: reglas de oro y mates rápidos</w:t>
            </w:r>
          </w:p>
        </w:tc>
        <w:tc>
          <w:tcPr>
            <w:tcW w:type="dxa" w:w="1134"/>
          </w:tcPr>
          <w:p>
            <w:pPr>
              <w:pStyle w:val="Celda9RXS"/>
            </w:pPr>
            <w:r/>
            <w:r>
              <w:t>II</w:t>
            </w:r>
          </w:p>
        </w:tc>
        <w:tc>
          <w:tcPr>
            <w:tcW w:type="dxa" w:w="1361"/>
          </w:tcPr>
          <w:p>
            <w:pPr>
              <w:pStyle w:val="Celda9RXS"/>
            </w:pPr>
            <w:r/>
            <w:r>
              <w:t>134 a 166</w:t>
            </w:r>
          </w:p>
        </w:tc>
        <w:tc>
          <w:tcPr>
            <w:tcW w:type="dxa" w:w="1361"/>
          </w:tcPr>
          <w:p>
            <w:pPr>
              <w:pStyle w:val="Celda9RXS"/>
            </w:pPr>
            <w:r/>
            <w:r>
              <w:t>27 a 34</w:t>
            </w:r>
          </w:p>
        </w:tc>
        <w:tc>
          <w:tcPr>
            <w:tcW w:type="dxa" w:w="1247"/>
          </w:tcPr>
          <w:p>
            <w:pPr>
              <w:pStyle w:val="Celda9RXS"/>
            </w:pPr>
            <w:r/>
            <w:r>
              <w:t>33</w:t>
            </w:r>
          </w:p>
        </w:tc>
      </w:tr>
      <w:tr>
        <w:tc>
          <w:tcPr>
            <w:tcW w:type="dxa" w:w="4535"/>
          </w:tcPr>
          <w:p>
            <w:pPr>
              <w:pStyle w:val="Celda9RXS"/>
            </w:pPr>
            <w:r/>
            <w:r>
              <w:t>6. Mates básicos: dama y rey, torre y rey; partidas anotadas y torneo</w:t>
            </w:r>
          </w:p>
        </w:tc>
        <w:tc>
          <w:tcPr>
            <w:tcW w:type="dxa" w:w="1134"/>
          </w:tcPr>
          <w:p>
            <w:pPr>
              <w:pStyle w:val="Celda9RXS"/>
            </w:pPr>
            <w:r/>
            <w:r>
              <w:t>II</w:t>
            </w:r>
          </w:p>
        </w:tc>
        <w:tc>
          <w:tcPr>
            <w:tcW w:type="dxa" w:w="1361"/>
          </w:tcPr>
          <w:p>
            <w:pPr>
              <w:pStyle w:val="Celda9RXS"/>
            </w:pPr>
            <w:r/>
            <w:r>
              <w:t>167 a 200</w:t>
            </w:r>
          </w:p>
        </w:tc>
        <w:tc>
          <w:tcPr>
            <w:tcW w:type="dxa" w:w="1361"/>
          </w:tcPr>
          <w:p>
            <w:pPr>
              <w:pStyle w:val="Celda9RXS"/>
            </w:pPr>
            <w:r/>
            <w:r>
              <w:t>34 a 40</w:t>
            </w:r>
          </w:p>
        </w:tc>
        <w:tc>
          <w:tcPr>
            <w:tcW w:type="dxa" w:w="1247"/>
          </w:tcPr>
          <w:p>
            <w:pPr>
              <w:pStyle w:val="Celda9RXS"/>
            </w:pPr>
            <w:r/>
            <w:r>
              <w:t>34</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Tercer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Tercer año</dc:title>
  <dc:subject>Programa de estudio de Ajedrez, Tercer año, I Ciclo de la Educación General Básica</dc:subject>
  <dc:creator>Oscar Angulo Cubero</dc:creator>
  <cp:keywords>ajedrez; programa de estudio; tercer año; 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