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1 de 2: Fundamentos y orientaciones</w:t>
      </w:r>
    </w:p>
    <w:p>
      <w:pPr>
        <w:spacing w:after="80"/>
        <w:jc w:val="center"/>
      </w:pPr>
      <w:r>
        <w:rPr>
          <w:b/>
          <w:color w:val="1F3A5F"/>
          <w:sz w:val="60"/>
        </w:rPr>
        <w:t>Sétimo año</w:t>
      </w:r>
    </w:p>
    <w:p>
      <w:pPr>
        <w:spacing w:after="80"/>
        <w:jc w:val="center"/>
      </w:pPr>
      <w:r>
        <w:rPr>
          <w:sz w:val="26"/>
        </w:rPr>
        <w:t>III Ciclo de la Educación General Básica</w:t>
      </w:r>
    </w:p>
    <w:p>
      <w:pPr>
        <w:spacing w:after="1200"/>
        <w:jc w:val="center"/>
      </w:pPr>
      <w:r>
        <w:rPr>
          <w:color w:val="555555"/>
          <w:sz w:val="22"/>
        </w:rPr>
        <w:t>Edad de referencia: 12 a 13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rPr>
          <w:b/>
        </w:rPr>
        <w:t>1. Presentación   (parte 1)</w:t>
      </w:r>
    </w:p>
    <w:p>
      <w:pPr>
        <w:spacing w:after="40"/>
      </w:pPr>
      <w:r>
        <w:rPr>
          <w:b/>
        </w:rPr>
        <w:t>2. Fundamentación   (parte 1)</w:t>
      </w:r>
    </w:p>
    <w:p>
      <w:pPr>
        <w:spacing w:after="40"/>
      </w:pPr>
      <w:r>
        <w:rPr>
          <w:b/>
        </w:rPr>
        <w:t>3. Enfoque curricular y mediación pedagógica   (parte 1)</w:t>
      </w:r>
    </w:p>
    <w:p>
      <w:pPr>
        <w:spacing w:after="40"/>
      </w:pPr>
      <w:r>
        <w:rPr>
          <w:b/>
        </w:rPr>
        <w:t>4. Las habilidades y el ajedrez   (parte 1)</w:t>
      </w:r>
    </w:p>
    <w:p>
      <w:pPr>
        <w:spacing w:after="40"/>
      </w:pPr>
      <w:r>
        <w:rPr>
          <w:b/>
        </w:rPr>
        <w:t>5. Ejes transversales y valores   (parte 1)</w:t>
      </w:r>
    </w:p>
    <w:p>
      <w:pPr>
        <w:spacing w:after="40"/>
      </w:pPr>
      <w:r>
        <w:rPr>
          <w:b/>
        </w:rPr>
        <w:t>6. Perfil de salida de sétimo año   (parte 1)</w:t>
      </w:r>
    </w:p>
    <w:p>
      <w:pPr>
        <w:spacing w:after="40"/>
      </w:pPr>
      <w:r>
        <w:rPr>
          <w:b/>
        </w:rPr>
        <w:t>7. Orientaciones metodológicas   (parte 1)</w:t>
      </w:r>
    </w:p>
    <w:p>
      <w:pPr>
        <w:spacing w:after="40"/>
      </w:pPr>
      <w:r>
        <w:rPr>
          <w:b/>
        </w:rPr>
        <w:t>8. Orientaciones para la evaluación   (parte 1)</w:t>
      </w:r>
    </w:p>
    <w:p>
      <w:pPr>
        <w:spacing w:after="40"/>
      </w:pPr>
      <w:r>
        <w:rPr>
          <w:b/>
        </w:rPr>
        <w:t>9. Distribución del tiempo   (parte 1)</w:t>
      </w:r>
    </w:p>
    <w:p>
      <w:pPr>
        <w:spacing w:after="40"/>
      </w:pPr>
      <w:r>
        <w:t>10. Malla curricular   (parte 2)</w:t>
      </w:r>
    </w:p>
    <w:p>
      <w:pPr>
        <w:spacing w:after="40"/>
      </w:pPr>
      <w:r>
        <w:t>11. Proyectos   (parte 2)</w:t>
      </w:r>
    </w:p>
    <w:p>
      <w:pPr>
        <w:spacing w:after="40"/>
      </w:pPr>
      <w:r>
        <w:t>12. Instrumentos de evaluación   (parte 2)</w:t>
      </w:r>
    </w:p>
    <w:p>
      <w:pPr>
        <w:spacing w:after="40"/>
      </w:pPr>
      <w:r>
        <w:t>13. Glosario   (parte 2)</w:t>
      </w:r>
    </w:p>
    <w:p>
      <w:pPr>
        <w:spacing w:after="40"/>
      </w:pPr>
      <w:r>
        <w:t>14. Referencias   (parte 2)</w:t>
      </w:r>
    </w:p>
    <w:p>
      <w:r>
        <w:br w:type="page"/>
      </w:r>
    </w:p>
    <w:p>
      <w:pPr>
        <w:pStyle w:val="Heading1"/>
      </w:pPr>
      <w:r>
        <w:t>1. Presentación</w:t>
      </w:r>
    </w:p>
    <w:p>
      <w:pPr>
        <w:jc w:val="both"/>
      </w:pPr>
      <w:r>
        <w:t>Este documento es el programa de estudio de Ajedrez para sétimo año del III Ciclo de la Educación General Básica. Forma parte de una serie de once programas, uno por cada año de la Educación General Básica y de la Educación Diversificada, pensados para que una escuela o un colegio pueda ofrecer el ajedrez como asignatura con la misma seriedad con que ofrece cualquier otra: con aprendizajes esperados, habilidades, contenidos, estrategias de mediación, indicadores y una evaluación que se pueda defender ante la familia y ante la dirección.</w:t>
      </w:r>
    </w:p>
    <w:p>
      <w:pPr>
        <w:jc w:val="both"/>
      </w:pPr>
      <w:r>
        <w:t>La estructura sigue la de los programas de estudio del Ministerio de Educación Pública de Costa Rica elaborados a partir de la Política Curricular «Educar para una nueva ciudadanía» y de la Política Educativa «La persona: centro del proceso educativo y sujeto transformador de la sociedad». Por eso cada unidad parte de aprendizajes esperados, los vincula con una habilidad del marco curricular y con su indicador, y describe tres niveles de desempeño (inicial, intermedio y avanzado) para valorar el avance de cada estudiante.</w:t>
      </w:r>
    </w:p>
    <w:p>
      <w:pPr>
        <w:jc w:val="both"/>
      </w:pPr>
      <w:r>
        <w:t>Junto a este programa va el planeamiento de las 200 lecciones del curso lectivo, una por día, cada una con sus cuatro momentos de mediación, su evaluación y sus materiales. La persona docente lo puede usar tal como está o ajustarlo a su grupo; para eso se marcaron como flexibles algunos días de refuerzo, que se pueden omitir cuando el calendario real trae menos días lectivos.</w:t>
      </w:r>
    </w:p>
    <w:p>
      <w:pPr>
        <w:pStyle w:val="Heading2"/>
      </w:pPr>
      <w:r>
        <w:t>Sobre sétimo año</w:t>
      </w:r>
    </w:p>
    <w:p>
      <w:pPr>
        <w:jc w:val="both"/>
      </w:pPr>
      <w:r>
        <w:t>Sétimo año es la puerta del colegio y también la del III Ciclo. Al grupo llegan estudiantes de muchas escuelas: unos llevaron ajedrez desde primer año y ya juegan con reloj y planilla, otros lo jugaron en la casa con un abuelo o en el celular, y algunos nunca han movido una pieza. Por eso el año arranca con un diagnóstico hecho con juegos y una unidad de nivelación por niveles, con monitores que ayudan a quien empieza mientras avanzan en los temas combinativos que el Manual 3 presenta con partidas reales.</w:t>
      </w:r>
    </w:p>
    <w:p>
      <w:pPr>
        <w:jc w:val="both"/>
      </w:pPr>
      <w:r>
        <w:t>El salto de este año es pasar de «ver jugadas» a «entender posiciones». La persona estudiante aprende a evaluar una posición con los cinco factores de Steinitz, a distinguir ventajas temporales de permanentes, a jugar la Italiana y la Española por sus ideas (no de memoria), a usar columnas abiertas, la séptima fila y los puestos avanzados, y a ganar finales de peones que exigen técnica: triangulación, maniobra de Réti, peón pasado protegido y dama contra peón en séptima. Cierra con dos partidas que todo ajedrecista debería conocer: Lasker contra Capablanca (San Petersburgo, 1914) y Tarrasch contra Marco (Viena, 1898).</w:t>
      </w:r>
    </w:p>
    <w:p>
      <w:pPr>
        <w:jc w:val="both"/>
      </w:pPr>
      <w:r>
        <w:t>Como corresponde al III Ciclo, cada semestre tiene un proyecto con nota y avances en días fijos: en el primero, un fichero de temas combinativos con partidas reales; en el segundo, una partida comentada por equipos. Lo que se aprende aquí prepara para octavo año, donde la evaluación de la posición se convierte en plan estratégico, llegan el ataque al rey enrocado y las defensas semiabiertas, y los finales pasan a las piezas menores.</w:t>
      </w:r>
    </w:p>
    <w:p>
      <w:pPr>
        <w:pStyle w:val="Heading1"/>
      </w:pPr>
      <w:r>
        <w:t>2. Fundamentación</w:t>
      </w:r>
    </w:p>
    <w:p>
      <w:pPr>
        <w:jc w:val="both"/>
      </w:pPr>
      <w:r>
        <w:t>El ajedrez es un juego de información completa: nada está escondido y nada depende del azar. Lo que pasa en el tablero es consecuencia de las decisiones de cada jugador. Esa sola característica lo vuelve una herramienta educativa de primer orden, porque obliga a observar antes de actuar, a prever lo que hará la otra persona y a hacerse cargo del resultado.</w:t>
      </w:r>
    </w:p>
    <w:p>
      <w:pPr>
        <w:jc w:val="both"/>
      </w:pPr>
      <w:r>
        <w:t>En el aula, una partida pone en juego al mismo tiempo la atención sostenida, la memoria de trabajo, la orientación espacial, el cálculo, la comparación de alternativas y el control de los impulsos. También pone en juego la convivencia: se saluda antes de empezar, se respeta el turno, se acepta la derrota y se gana sin humillar. Para la niña o el niño que apenas aprende a leer, el tablero es un mapa con coordenadas; para la persona adolescente, es un laboratorio donde formula hipótesis, las pone a prueba y revisa su razonamiento cuando se equivoca.</w:t>
      </w:r>
    </w:p>
    <w:p>
      <w:pPr>
        <w:jc w:val="both"/>
      </w:pPr>
      <w:r>
        <w:t>Este programa no busca formar campeones, aunque no lo impide. Busca que cada estudiante aprenda a pensar mejor y a convivir mejor por medio de un juego que tiene quince siglos de historia y que hoy se juega en todos los países del mundo, en el parque, en el colegio y en internet. Costa Rica tiene una tradición ajedrecística viva, con torneos escolares, los Juegos Deportivos Nacionales y una federación que organiza competencias para todas las edades; la escuela es el lugar donde esa tradición se vuelve accesible para todas las personas, no solo para quien tiene un club cerca.</w:t>
      </w:r>
    </w:p>
    <w:p>
      <w:pPr>
        <w:jc w:val="both"/>
      </w:pPr>
      <w:r>
        <w:t>El ajedrez dialoga además con otras asignaturas. Con Matemáticas comparte la geometría del tablero, las coordenadas, el conteo y el razonamiento lógico. Con Español, la lectura de instrucciones, la escritura de comentarios y la argumentación oral. Con Estudios Sociales, la historia de un juego que viajó desde la India hasta América. Con Educación Física, el cuidado del cuerpo y de la mente en la competencia. El programa aprovecha esos puentes cada vez que puede.</w:t>
      </w:r>
    </w:p>
    <w:p>
      <w:pPr>
        <w:pStyle w:val="Heading1"/>
      </w:pPr>
      <w:r>
        <w:t>3. Enfoque curricular y mediación pedagógica</w:t>
      </w:r>
    </w:p>
    <w:p>
      <w:pPr>
        <w:jc w:val="both"/>
      </w:pPr>
      <w:r>
        <w:t>El programa se apoya en una visión socioconstructivista del aprendizaje: la persona estudiante construye el conocimiento al actuar sobre el tablero, al confrontar sus ideas con las de sus compañeros y al contrastarlas con la explicación de la persona docente y con la tradición escrita del juego. Nadie aprende ajedrez solo escuchando: se aprende jugando, equivocándose y revisando por qué.</w:t>
      </w:r>
    </w:p>
    <w:p>
      <w:pPr>
        <w:jc w:val="both"/>
      </w:pPr>
      <w:r>
        <w:t>La persona docente actúa como mediadora. Prepara la situación, plantea el reto, observa, pregunta y devuelve. Explica cuando hace falta, pero no le quita al estudiantado el gusto de descubrir. Las lecciones están organizadas en cuatro momentos: focalización, exploración, contrastación y aplicación.</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F3A5F"/>
          </w:tcPr>
          <w:p>
            <w:pPr>
              <w:pStyle w:val="Celda9NFFFFFFS"/>
            </w:pPr>
            <w:r/>
            <w:r>
              <w:t>Momento</w:t>
            </w:r>
          </w:p>
        </w:tc>
        <w:tc>
          <w:tcPr>
            <w:tcW w:type="dxa" w:w="7087"/>
            <w:shd w:val="clear" w:color="auto" w:fill="1F3A5F"/>
          </w:tcPr>
          <w:p>
            <w:pPr>
              <w:pStyle w:val="Celda9NFFFFFFS"/>
            </w:pPr>
            <w:r/>
            <w:r>
              <w:t>Qué sucede</w:t>
            </w:r>
          </w:p>
        </w:tc>
      </w:tr>
      <w:tr>
        <w:tc>
          <w:tcPr>
            <w:tcW w:type="dxa" w:w="2551"/>
          </w:tcPr>
          <w:p>
            <w:pPr>
              <w:pStyle w:val="Celda9RXS"/>
            </w:pPr>
            <w:r/>
            <w:r>
              <w:t>Focalización (5 minutos)</w:t>
            </w:r>
          </w:p>
        </w:tc>
        <w:tc>
          <w:tcPr>
            <w:tcW w:type="dxa" w:w="7087"/>
          </w:tcPr>
          <w:p>
            <w:pPr>
              <w:pStyle w:val="Celda9RXS"/>
            </w:pPr>
            <w:r/>
            <w:r>
              <w:t>Se despierta el interés y se recupera lo que el grupo ya sabe: una pregunta, un reto en el tablero mural, una historia corta, una adivinanza o la revisión de la tarea.</w:t>
            </w:r>
          </w:p>
        </w:tc>
      </w:tr>
      <w:tr>
        <w:tc>
          <w:tcPr>
            <w:tcW w:type="dxa" w:w="2551"/>
          </w:tcPr>
          <w:p>
            <w:pPr>
              <w:pStyle w:val="Celda9RXS"/>
            </w:pPr>
            <w:r/>
            <w:r>
              <w:t>Exploración (15 minutos)</w:t>
            </w:r>
          </w:p>
        </w:tc>
        <w:tc>
          <w:tcPr>
            <w:tcW w:type="dxa" w:w="7087"/>
          </w:tcPr>
          <w:p>
            <w:pPr>
              <w:pStyle w:val="Celda9RXS"/>
            </w:pPr>
            <w:r/>
            <w:r>
              <w:t>El estudiantado trabaja con las piezas, en parejas o en pequeños grupos: prueba, juega, cuenta, compara. La persona docente circula, observa y toma nota.</w:t>
            </w:r>
          </w:p>
        </w:tc>
      </w:tr>
      <w:tr>
        <w:tc>
          <w:tcPr>
            <w:tcW w:type="dxa" w:w="2551"/>
          </w:tcPr>
          <w:p>
            <w:pPr>
              <w:pStyle w:val="Celda9RXS"/>
            </w:pPr>
            <w:r/>
            <w:r>
              <w:t>Contrastación (10 minutos)</w:t>
            </w:r>
          </w:p>
        </w:tc>
        <w:tc>
          <w:tcPr>
            <w:tcW w:type="dxa" w:w="7087"/>
          </w:tcPr>
          <w:p>
            <w:pPr>
              <w:pStyle w:val="Celda9RXS"/>
            </w:pPr>
            <w:r/>
            <w:r>
              <w:t>Se ponen en común los hallazgos y se confrontan con la regla, con la explicación de la persona docente o con la fuente. Aquí se nombra el concepto y se corrigen errores.</w:t>
            </w:r>
          </w:p>
        </w:tc>
      </w:tr>
      <w:tr>
        <w:tc>
          <w:tcPr>
            <w:tcW w:type="dxa" w:w="2551"/>
          </w:tcPr>
          <w:p>
            <w:pPr>
              <w:pStyle w:val="Celda9RXS"/>
            </w:pPr>
            <w:r/>
            <w:r>
              <w:t>Aplicación (10 minutos)</w:t>
            </w:r>
          </w:p>
        </w:tc>
        <w:tc>
          <w:tcPr>
            <w:tcW w:type="dxa" w:w="7087"/>
          </w:tcPr>
          <w:p>
            <w:pPr>
              <w:pStyle w:val="Celda9RXS"/>
            </w:pPr>
            <w:r/>
            <w:r>
              <w:t>Lo aprendido se usa en una situación nueva: un minijuego, una partida con una consigna, un ejercicio o una salida rápida que permite saber quién lo logró.</w:t>
            </w:r>
          </w:p>
        </w:tc>
      </w:tr>
    </w:tbl>
    <w:p>
      <w:pPr>
        <w:pStyle w:val="Heading1"/>
      </w:pPr>
      <w:r>
        <w:t>4. Las habilidades y el ajedrez</w:t>
      </w:r>
    </w:p>
    <w:p>
      <w:pPr>
        <w:jc w:val="both"/>
      </w:pPr>
      <w:r>
        <w:t>El marco curricular organiza las habilidades en cuatro dimensiones. La tabla muestra cómo las trabaja el ajedrez. En la malla curricular, cada aprendizaje esperado se vincula con una de ellas y con un indicador observable.</w:t>
      </w:r>
    </w:p>
    <w:tbl>
      <w:tblPr>
        <w:tblStyle w:val="TableGrid"/>
        <w:tblW w:type="auto" w:w="0"/>
        <w:jc w:val="center"/>
        <w:tblLayout w:type="fixed"/>
        <w:tblLook w:firstColumn="1" w:firstRow="1" w:lastColumn="0" w:lastRow="0" w:noHBand="0" w:noVBand="1" w:val="04A0"/>
      </w:tblPr>
      <w:tblGrid>
        <w:gridCol w:w="2041"/>
        <w:gridCol w:w="2154"/>
        <w:gridCol w:w="5443"/>
      </w:tblGrid>
      <w:tr>
        <w:trPr>
          <w:tblHeader w:val="true"/>
        </w:trPr>
        <w:tc>
          <w:tcPr>
            <w:tcW w:type="dxa" w:w="2041"/>
            <w:shd w:val="clear" w:color="auto" w:fill="1F3A5F"/>
          </w:tcPr>
          <w:p>
            <w:pPr>
              <w:pStyle w:val="Celda9NFFFFFFS"/>
            </w:pPr>
            <w:r/>
            <w:r>
              <w:t>Dimensión</w:t>
            </w:r>
          </w:p>
        </w:tc>
        <w:tc>
          <w:tcPr>
            <w:tcW w:type="dxa" w:w="2154"/>
            <w:shd w:val="clear" w:color="auto" w:fill="1F3A5F"/>
          </w:tcPr>
          <w:p>
            <w:pPr>
              <w:pStyle w:val="Celda9NFFFFFFS"/>
            </w:pPr>
            <w:r/>
            <w:r>
              <w:t>Habilidad</w:t>
            </w:r>
          </w:p>
        </w:tc>
        <w:tc>
          <w:tcPr>
            <w:tcW w:type="dxa" w:w="5443"/>
            <w:shd w:val="clear" w:color="auto" w:fill="1F3A5F"/>
          </w:tcPr>
          <w:p>
            <w:pPr>
              <w:pStyle w:val="Celda9NFFFFFFS"/>
            </w:pPr>
            <w:r/>
            <w:r>
              <w:t>Cómo la desarrolla el ajedrez</w:t>
            </w:r>
          </w:p>
        </w:tc>
      </w:tr>
      <w:tr>
        <w:tc>
          <w:tcPr>
            <w:tcW w:type="dxa" w:w="2041"/>
          </w:tcPr>
          <w:p>
            <w:pPr>
              <w:pStyle w:val="Celda9RXS"/>
            </w:pPr>
            <w:r/>
            <w:r>
              <w:t>Maneras de pensar</w:t>
            </w:r>
          </w:p>
        </w:tc>
        <w:tc>
          <w:tcPr>
            <w:tcW w:type="dxa" w:w="2154"/>
          </w:tcPr>
          <w:p>
            <w:pPr>
              <w:pStyle w:val="Celda9RXS"/>
            </w:pPr>
            <w:r/>
            <w:r>
              <w:t>Pensamiento sistémico</w:t>
            </w:r>
          </w:p>
        </w:tc>
        <w:tc>
          <w:tcPr>
            <w:tcW w:type="dxa" w:w="5443"/>
          </w:tcPr>
          <w:p>
            <w:pPr>
              <w:pStyle w:val="Celda9RXS"/>
            </w:pPr>
            <w:r/>
            <w:r>
              <w:t>Ver el tablero como un todo: cada pieza depende de las demás y una jugada cambia el conjunto.</w:t>
            </w:r>
          </w:p>
        </w:tc>
      </w:tr>
      <w:tr>
        <w:tc>
          <w:tcPr>
            <w:tcW w:type="dxa" w:w="2041"/>
          </w:tcPr>
          <w:p>
            <w:pPr>
              <w:pStyle w:val="Celda9RXS"/>
            </w:pPr>
            <w:r/>
            <w:r>
              <w:t>Maneras de pensar</w:t>
            </w:r>
          </w:p>
        </w:tc>
        <w:tc>
          <w:tcPr>
            <w:tcW w:type="dxa" w:w="2154"/>
          </w:tcPr>
          <w:p>
            <w:pPr>
              <w:pStyle w:val="Celda9RXS"/>
            </w:pPr>
            <w:r/>
            <w:r>
              <w:t>Pensamiento crítico</w:t>
            </w:r>
          </w:p>
        </w:tc>
        <w:tc>
          <w:tcPr>
            <w:tcW w:type="dxa" w:w="5443"/>
          </w:tcPr>
          <w:p>
            <w:pPr>
              <w:pStyle w:val="Celda9RXS"/>
            </w:pPr>
            <w:r/>
            <w:r>
              <w:t>Evaluar una jugada antes de hacerla, revisar la del rival y justificar con razones por qué una es mejor que otra.</w:t>
            </w:r>
          </w:p>
        </w:tc>
      </w:tr>
      <w:tr>
        <w:tc>
          <w:tcPr>
            <w:tcW w:type="dxa" w:w="2041"/>
          </w:tcPr>
          <w:p>
            <w:pPr>
              <w:pStyle w:val="Celda9RXS"/>
            </w:pPr>
            <w:r/>
            <w:r>
              <w:t>Maneras de pensar</w:t>
            </w:r>
          </w:p>
        </w:tc>
        <w:tc>
          <w:tcPr>
            <w:tcW w:type="dxa" w:w="2154"/>
          </w:tcPr>
          <w:p>
            <w:pPr>
              <w:pStyle w:val="Celda9RXS"/>
            </w:pPr>
            <w:r/>
            <w:r>
              <w:t>Aprender a aprender</w:t>
            </w:r>
          </w:p>
        </w:tc>
        <w:tc>
          <w:tcPr>
            <w:tcW w:type="dxa" w:w="5443"/>
          </w:tcPr>
          <w:p>
            <w:pPr>
              <w:pStyle w:val="Celda9RXS"/>
            </w:pPr>
            <w:r/>
            <w:r>
              <w:t>Analizar las propias partidas, reconocer los errores y planear cómo mejorar.</w:t>
            </w:r>
          </w:p>
        </w:tc>
      </w:tr>
      <w:tr>
        <w:tc>
          <w:tcPr>
            <w:tcW w:type="dxa" w:w="2041"/>
          </w:tcPr>
          <w:p>
            <w:pPr>
              <w:pStyle w:val="Celda9RXS"/>
            </w:pPr>
            <w:r/>
            <w:r>
              <w:t>Maneras de pensar</w:t>
            </w:r>
          </w:p>
        </w:tc>
        <w:tc>
          <w:tcPr>
            <w:tcW w:type="dxa" w:w="2154"/>
          </w:tcPr>
          <w:p>
            <w:pPr>
              <w:pStyle w:val="Celda9RXS"/>
            </w:pPr>
            <w:r/>
            <w:r>
              <w:t>Resolución de problemas</w:t>
            </w:r>
          </w:p>
        </w:tc>
        <w:tc>
          <w:tcPr>
            <w:tcW w:type="dxa" w:w="5443"/>
          </w:tcPr>
          <w:p>
            <w:pPr>
              <w:pStyle w:val="Celda9RXS"/>
            </w:pPr>
            <w:r/>
            <w:r>
              <w:t>Encontrar la jugada que resuelve una posición, con un método: mirar, buscar candidatas, calcular y comprobar.</w:t>
            </w:r>
          </w:p>
        </w:tc>
      </w:tr>
      <w:tr>
        <w:tc>
          <w:tcPr>
            <w:tcW w:type="dxa" w:w="2041"/>
          </w:tcPr>
          <w:p>
            <w:pPr>
              <w:pStyle w:val="Celda9RXS"/>
            </w:pPr>
            <w:r/>
            <w:r>
              <w:t>Maneras de pensar</w:t>
            </w:r>
          </w:p>
        </w:tc>
        <w:tc>
          <w:tcPr>
            <w:tcW w:type="dxa" w:w="2154"/>
          </w:tcPr>
          <w:p>
            <w:pPr>
              <w:pStyle w:val="Celda9RXS"/>
            </w:pPr>
            <w:r/>
            <w:r>
              <w:t>Creatividad e innovación</w:t>
            </w:r>
          </w:p>
        </w:tc>
        <w:tc>
          <w:tcPr>
            <w:tcW w:type="dxa" w:w="5443"/>
          </w:tcPr>
          <w:p>
            <w:pPr>
              <w:pStyle w:val="Celda9RXS"/>
            </w:pPr>
            <w:r/>
            <w:r>
              <w:t>Inventar planes, minijuegos, problemas y variantes; buscar la jugada que nadie espera.</w:t>
            </w:r>
          </w:p>
        </w:tc>
      </w:tr>
      <w:tr>
        <w:tc>
          <w:tcPr>
            <w:tcW w:type="dxa" w:w="2041"/>
          </w:tcPr>
          <w:p>
            <w:pPr>
              <w:pStyle w:val="Celda9RXS"/>
            </w:pPr>
            <w:r/>
            <w:r>
              <w:t>Formas de vivir en el mundo</w:t>
            </w:r>
          </w:p>
        </w:tc>
        <w:tc>
          <w:tcPr>
            <w:tcW w:type="dxa" w:w="2154"/>
          </w:tcPr>
          <w:p>
            <w:pPr>
              <w:pStyle w:val="Celda9RXS"/>
            </w:pPr>
            <w:r/>
            <w:r>
              <w:t>Ciudadanía global y local</w:t>
            </w:r>
          </w:p>
        </w:tc>
        <w:tc>
          <w:tcPr>
            <w:tcW w:type="dxa" w:w="5443"/>
          </w:tcPr>
          <w:p>
            <w:pPr>
              <w:pStyle w:val="Celda9RXS"/>
            </w:pPr>
            <w:r/>
            <w:r>
              <w:t>Conocer la historia del juego y su presencia en otras culturas; participar en la vida ajedrecística de la comunidad.</w:t>
            </w:r>
          </w:p>
        </w:tc>
      </w:tr>
      <w:tr>
        <w:tc>
          <w:tcPr>
            <w:tcW w:type="dxa" w:w="2041"/>
          </w:tcPr>
          <w:p>
            <w:pPr>
              <w:pStyle w:val="Celda9RXS"/>
            </w:pPr>
            <w:r/>
            <w:r>
              <w:t>Formas de vivir en el mundo</w:t>
            </w:r>
          </w:p>
        </w:tc>
        <w:tc>
          <w:tcPr>
            <w:tcW w:type="dxa" w:w="2154"/>
          </w:tcPr>
          <w:p>
            <w:pPr>
              <w:pStyle w:val="Celda9RXS"/>
            </w:pPr>
            <w:r/>
            <w:r>
              <w:t>Responsabilidad personal y social</w:t>
            </w:r>
          </w:p>
        </w:tc>
        <w:tc>
          <w:tcPr>
            <w:tcW w:type="dxa" w:w="5443"/>
          </w:tcPr>
          <w:p>
            <w:pPr>
              <w:pStyle w:val="Celda9RXS"/>
            </w:pPr>
            <w:r/>
            <w:r>
              <w:t>Cumplir el reglamento, aceptar el resultado, cuidar el material y respetar al rival.</w:t>
            </w:r>
          </w:p>
        </w:tc>
      </w:tr>
      <w:tr>
        <w:tc>
          <w:tcPr>
            <w:tcW w:type="dxa" w:w="2041"/>
          </w:tcPr>
          <w:p>
            <w:pPr>
              <w:pStyle w:val="Celda9RXS"/>
            </w:pPr>
            <w:r/>
            <w:r>
              <w:t>Formas de vivir en el mundo</w:t>
            </w:r>
          </w:p>
        </w:tc>
        <w:tc>
          <w:tcPr>
            <w:tcW w:type="dxa" w:w="2154"/>
          </w:tcPr>
          <w:p>
            <w:pPr>
              <w:pStyle w:val="Celda9RXS"/>
            </w:pPr>
            <w:r/>
            <w:r>
              <w:t>Estilos de vida saludables</w:t>
            </w:r>
          </w:p>
        </w:tc>
        <w:tc>
          <w:tcPr>
            <w:tcW w:type="dxa" w:w="5443"/>
          </w:tcPr>
          <w:p>
            <w:pPr>
              <w:pStyle w:val="Celda9RXS"/>
            </w:pPr>
            <w:r/>
            <w:r>
              <w:t>Manejar la frustración, la ansiedad de la competencia y el uso del tiempo frente a pantallas.</w:t>
            </w:r>
          </w:p>
        </w:tc>
      </w:tr>
      <w:tr>
        <w:tc>
          <w:tcPr>
            <w:tcW w:type="dxa" w:w="2041"/>
          </w:tcPr>
          <w:p>
            <w:pPr>
              <w:pStyle w:val="Celda9RXS"/>
            </w:pPr>
            <w:r/>
            <w:r>
              <w:t>Formas de vivir en el mundo</w:t>
            </w:r>
          </w:p>
        </w:tc>
        <w:tc>
          <w:tcPr>
            <w:tcW w:type="dxa" w:w="2154"/>
          </w:tcPr>
          <w:p>
            <w:pPr>
              <w:pStyle w:val="Celda9RXS"/>
            </w:pPr>
            <w:r/>
            <w:r>
              <w:t>Vida y carrera</w:t>
            </w:r>
          </w:p>
        </w:tc>
        <w:tc>
          <w:tcPr>
            <w:tcW w:type="dxa" w:w="5443"/>
          </w:tcPr>
          <w:p>
            <w:pPr>
              <w:pStyle w:val="Celda9RXS"/>
            </w:pPr>
            <w:r/>
            <w:r>
              <w:t>Reconocer el ajedrez como espacio de formación, arbitraje, enseñanza y organización de eventos.</w:t>
            </w:r>
          </w:p>
        </w:tc>
      </w:tr>
      <w:tr>
        <w:tc>
          <w:tcPr>
            <w:tcW w:type="dxa" w:w="2041"/>
          </w:tcPr>
          <w:p>
            <w:pPr>
              <w:pStyle w:val="Celda9RXS"/>
            </w:pPr>
            <w:r/>
            <w:r>
              <w:t>Formas de relacionarse con otros</w:t>
            </w:r>
          </w:p>
        </w:tc>
        <w:tc>
          <w:tcPr>
            <w:tcW w:type="dxa" w:w="2154"/>
          </w:tcPr>
          <w:p>
            <w:pPr>
              <w:pStyle w:val="Celda9RXS"/>
            </w:pPr>
            <w:r/>
            <w:r>
              <w:t>Colaboración</w:t>
            </w:r>
          </w:p>
        </w:tc>
        <w:tc>
          <w:tcPr>
            <w:tcW w:type="dxa" w:w="5443"/>
          </w:tcPr>
          <w:p>
            <w:pPr>
              <w:pStyle w:val="Celda9RXS"/>
            </w:pPr>
            <w:r/>
            <w:r>
              <w:t>Analizar en pareja o en equipo, enseñar a quien sabe menos y jugar en equipos.</w:t>
            </w:r>
          </w:p>
        </w:tc>
      </w:tr>
      <w:tr>
        <w:tc>
          <w:tcPr>
            <w:tcW w:type="dxa" w:w="2041"/>
          </w:tcPr>
          <w:p>
            <w:pPr>
              <w:pStyle w:val="Celda9RXS"/>
            </w:pPr>
            <w:r/>
            <w:r>
              <w:t>Formas de relacionarse con otros</w:t>
            </w:r>
          </w:p>
        </w:tc>
        <w:tc>
          <w:tcPr>
            <w:tcW w:type="dxa" w:w="2154"/>
          </w:tcPr>
          <w:p>
            <w:pPr>
              <w:pStyle w:val="Celda9RXS"/>
            </w:pPr>
            <w:r/>
            <w:r>
              <w:t>Comunicación</w:t>
            </w:r>
          </w:p>
        </w:tc>
        <w:tc>
          <w:tcPr>
            <w:tcW w:type="dxa" w:w="5443"/>
          </w:tcPr>
          <w:p>
            <w:pPr>
              <w:pStyle w:val="Celda9RXS"/>
            </w:pPr>
            <w:r/>
            <w:r>
              <w:t>Explicar una idea con el vocabulario del juego, anotar partidas y comentarlas por escrito u oralmente.</w:t>
            </w:r>
          </w:p>
        </w:tc>
      </w:tr>
      <w:tr>
        <w:tc>
          <w:tcPr>
            <w:tcW w:type="dxa" w:w="2041"/>
          </w:tcPr>
          <w:p>
            <w:pPr>
              <w:pStyle w:val="Celda9RXS"/>
            </w:pPr>
            <w:r/>
            <w:r>
              <w:t>Herramientas para integrarse al mundo</w:t>
            </w:r>
          </w:p>
        </w:tc>
        <w:tc>
          <w:tcPr>
            <w:tcW w:type="dxa" w:w="2154"/>
          </w:tcPr>
          <w:p>
            <w:pPr>
              <w:pStyle w:val="Celda9RXS"/>
            </w:pPr>
            <w:r/>
            <w:r>
              <w:t>Apropiación de tecnologías digitales</w:t>
            </w:r>
          </w:p>
        </w:tc>
        <w:tc>
          <w:tcPr>
            <w:tcW w:type="dxa" w:w="5443"/>
          </w:tcPr>
          <w:p>
            <w:pPr>
              <w:pStyle w:val="Celda9RXS"/>
            </w:pPr>
            <w:r/>
            <w:r>
              <w:t>Usar con criterio tableros digitales, bases de datos y programas de análisis.</w:t>
            </w:r>
          </w:p>
        </w:tc>
      </w:tr>
      <w:tr>
        <w:tc>
          <w:tcPr>
            <w:tcW w:type="dxa" w:w="2041"/>
          </w:tcPr>
          <w:p>
            <w:pPr>
              <w:pStyle w:val="Celda9RXS"/>
            </w:pPr>
            <w:r/>
            <w:r>
              <w:t>Herramientas para integrarse al mundo</w:t>
            </w:r>
          </w:p>
        </w:tc>
        <w:tc>
          <w:tcPr>
            <w:tcW w:type="dxa" w:w="2154"/>
          </w:tcPr>
          <w:p>
            <w:pPr>
              <w:pStyle w:val="Celda9RXS"/>
            </w:pPr>
            <w:r/>
            <w:r>
              <w:t>Manejo de la información</w:t>
            </w:r>
          </w:p>
        </w:tc>
        <w:tc>
          <w:tcPr>
            <w:tcW w:type="dxa" w:w="5443"/>
          </w:tcPr>
          <w:p>
            <w:pPr>
              <w:pStyle w:val="Celda9RXS"/>
            </w:pPr>
            <w:r/>
            <w:r>
              <w:t>Buscar, seleccionar y organizar partidas, reglamentos y datos históricos.</w:t>
            </w:r>
          </w:p>
        </w:tc>
      </w:tr>
    </w:tbl>
    <w:p>
      <w:pPr>
        <w:pStyle w:val="Heading1"/>
      </w:pPr>
      <w:r>
        <w:t>5. Ejes transversales y valores</w:t>
      </w:r>
    </w:p>
    <w:tbl>
      <w:tblPr>
        <w:tblStyle w:val="TableGrid"/>
        <w:tblW w:type="auto" w:w="0"/>
        <w:jc w:val="center"/>
        <w:tblLayout w:type="fixed"/>
        <w:tblLook w:firstColumn="1" w:firstRow="1" w:lastColumn="0" w:lastRow="0" w:noHBand="0" w:noVBand="1" w:val="04A0"/>
      </w:tblPr>
      <w:tblGrid>
        <w:gridCol w:w="3118"/>
        <w:gridCol w:w="6520"/>
      </w:tblGrid>
      <w:tr>
        <w:trPr>
          <w:tblHeader w:val="true"/>
        </w:trPr>
        <w:tc>
          <w:tcPr>
            <w:tcW w:type="dxa" w:w="3118"/>
            <w:shd w:val="clear" w:color="auto" w:fill="1F3A5F"/>
          </w:tcPr>
          <w:p>
            <w:pPr>
              <w:pStyle w:val="Celda9NFFFFFFS"/>
            </w:pPr>
            <w:r/>
            <w:r>
              <w:t>Eje transversal</w:t>
            </w:r>
          </w:p>
        </w:tc>
        <w:tc>
          <w:tcPr>
            <w:tcW w:type="dxa" w:w="6520"/>
            <w:shd w:val="clear" w:color="auto" w:fill="1F3A5F"/>
          </w:tcPr>
          <w:p>
            <w:pPr>
              <w:pStyle w:val="Celda9NFFFFFFS"/>
            </w:pPr>
            <w:r/>
            <w:r>
              <w:t>Aporte desde el ajedrez</w:t>
            </w:r>
          </w:p>
        </w:tc>
      </w:tr>
      <w:tr>
        <w:tc>
          <w:tcPr>
            <w:tcW w:type="dxa" w:w="3118"/>
          </w:tcPr>
          <w:p>
            <w:pPr>
              <w:pStyle w:val="Celda9RXS"/>
            </w:pPr>
            <w:r/>
            <w:r>
              <w:t>Cultura ambiental para el desarrollo sostenible</w:t>
            </w:r>
          </w:p>
        </w:tc>
        <w:tc>
          <w:tcPr>
            <w:tcW w:type="dxa" w:w="6520"/>
          </w:tcPr>
          <w:p>
            <w:pPr>
              <w:pStyle w:val="Celda9RXS"/>
            </w:pPr>
            <w:r/>
            <w:r>
              <w:t>Cuidado del material común (tableros, piezas, relojes), uso de materiales reciclados para fabricar tableros y piezas, y reflexión sobre el uso responsable de los recursos.</w:t>
            </w:r>
          </w:p>
        </w:tc>
      </w:tr>
      <w:tr>
        <w:tc>
          <w:tcPr>
            <w:tcW w:type="dxa" w:w="3118"/>
          </w:tcPr>
          <w:p>
            <w:pPr>
              <w:pStyle w:val="Celda9RXS"/>
            </w:pPr>
            <w:r/>
            <w:r>
              <w:t>Educación integral de la sexualidad</w:t>
            </w:r>
          </w:p>
        </w:tc>
        <w:tc>
          <w:tcPr>
            <w:tcW w:type="dxa" w:w="6520"/>
          </w:tcPr>
          <w:p>
            <w:pPr>
              <w:pStyle w:val="Celda9RXS"/>
            </w:pPr>
            <w:r/>
            <w:r>
              <w:t>Participación equitativa de niñas, niños y adolescentes en todas las actividades, sin estereotipos sobre quién «sirve» para el ajedrez, y reconocimiento de grandes jugadoras.</w:t>
            </w:r>
          </w:p>
        </w:tc>
      </w:tr>
      <w:tr>
        <w:tc>
          <w:tcPr>
            <w:tcW w:type="dxa" w:w="3118"/>
          </w:tcPr>
          <w:p>
            <w:pPr>
              <w:pStyle w:val="Celda9RXS"/>
            </w:pPr>
            <w:r/>
            <w:r>
              <w:t>Educación para la salud</w:t>
            </w:r>
          </w:p>
        </w:tc>
        <w:tc>
          <w:tcPr>
            <w:tcW w:type="dxa" w:w="6520"/>
          </w:tcPr>
          <w:p>
            <w:pPr>
              <w:pStyle w:val="Celda9RXS"/>
            </w:pPr>
            <w:r/>
            <w:r>
              <w:t>Manejo de las emociones al ganar y al perder, pausas activas, postura, descanso antes de competir y uso equilibrado de las pantallas.</w:t>
            </w:r>
          </w:p>
        </w:tc>
      </w:tr>
      <w:tr>
        <w:tc>
          <w:tcPr>
            <w:tcW w:type="dxa" w:w="3118"/>
          </w:tcPr>
          <w:p>
            <w:pPr>
              <w:pStyle w:val="Celda9RXS"/>
            </w:pPr>
            <w:r/>
            <w:r>
              <w:t>Vivencia de los derechos humanos para la democracia y la paz</w:t>
            </w:r>
          </w:p>
        </w:tc>
        <w:tc>
          <w:tcPr>
            <w:tcW w:type="dxa" w:w="6520"/>
          </w:tcPr>
          <w:p>
            <w:pPr>
              <w:pStyle w:val="Celda9RXS"/>
            </w:pPr>
            <w:r/>
            <w:r>
              <w:t>Respeto a las reglas acordadas, al turno y a la persona rival; solución pacífica de los conflictos en la partida y juego limpio.</w:t>
            </w:r>
          </w:p>
        </w:tc>
      </w:tr>
    </w:tbl>
    <w:p/>
    <w:p>
      <w:pPr>
        <w:jc w:val="both"/>
      </w:pPr>
      <w:r>
        <w:t>Los valores que se cultivan en todas las lecciones son el respeto, la responsabilidad, la honestidad, la solidaridad, la perseverancia, la tolerancia y el juego limpio. Cada unidad destaca uno o dos de ellos.</w:t>
      </w:r>
    </w:p>
    <w:p>
      <w:pPr>
        <w:pStyle w:val="Heading1"/>
      </w:pPr>
      <w:r>
        <w:t>6. Perfil de salida de sétimo año</w:t>
      </w:r>
    </w:p>
    <w:p>
      <w:r>
        <w:rPr>
          <w:b/>
        </w:rPr>
        <w:t>Conocimientos que se esperan al iniciar el año:</w:t>
      </w:r>
    </w:p>
    <w:p>
      <w:pPr>
        <w:pStyle w:val="ListBullet"/>
      </w:pPr>
      <w:r>
        <w:t>Movimiento y captura de todas las piezas, enroque, coronación y captura al paso (quien no lo trae lo nivela en las primeras semanas).</w:t>
      </w:r>
    </w:p>
    <w:p>
      <w:pPr>
        <w:pStyle w:val="ListBullet"/>
      </w:pPr>
      <w:r>
        <w:t>Jaque, jaque mate, tablas y los mates básicos con dama y con torre.</w:t>
      </w:r>
    </w:p>
    <w:p>
      <w:pPr>
        <w:pStyle w:val="ListBullet"/>
      </w:pPr>
      <w:r>
        <w:t>Lectura y escritura de la notación algebraica en español.</w:t>
      </w:r>
    </w:p>
    <w:p>
      <w:pPr>
        <w:pStyle w:val="ListBullet"/>
      </w:pPr>
      <w:r>
        <w:t>Temas tácticos elementales: ataque doble, clavada, enfilada, descubierta, desviación y sobrecarga.</w:t>
      </w:r>
    </w:p>
    <w:p>
      <w:pPr>
        <w:pStyle w:val="ListBullet"/>
      </w:pPr>
      <w:r>
        <w:t>Nociones de finales de peones (regla del cuadrado, oposición) y de estructuras de peones, según lo visto en quinto y sexto año.</w:t>
      </w:r>
    </w:p>
    <w:p>
      <w:r>
        <w:rPr>
          <w:b/>
        </w:rPr>
        <w:t>Al finalizar el año, la persona estudiante:</w:t>
      </w:r>
    </w:p>
    <w:p>
      <w:pPr>
        <w:pStyle w:val="ListBullet"/>
      </w:pPr>
      <w:r>
        <w:t>Juega una partida completa con reloj y planilla, respetando el Reglamento de la FIDE y las normas de juego limpio.</w:t>
      </w:r>
    </w:p>
    <w:p>
      <w:pPr>
        <w:pStyle w:val="ListBullet"/>
      </w:pPr>
      <w:r>
        <w:t>Reconoce en partidas reales los temas combinativos básicos (ataque doble, desviación, atracción, clavada, descubierta, destrucción de la defensa, despeje, intercepción, debilidad de la primera fila) y los nombra con precisión.</w:t>
      </w:r>
    </w:p>
    <w:p>
      <w:pPr>
        <w:pStyle w:val="ListBullet"/>
      </w:pPr>
      <w:r>
        <w:t>Resuelve ejercicios tácticos con un método: mirar sin tocar, anotar las jugadas candidatas, comprobar en el tablero y comparar con la solución.</w:t>
      </w:r>
    </w:p>
    <w:p>
      <w:pPr>
        <w:pStyle w:val="ListBullet"/>
      </w:pPr>
      <w:r>
        <w:t>Evalúa una posición con los cinco factores de Steinitz y explica por escrito qué bando está mejor y por qué.</w:t>
      </w:r>
    </w:p>
    <w:p>
      <w:pPr>
        <w:pStyle w:val="ListBullet"/>
      </w:pPr>
      <w:r>
        <w:t>Distingue ventajas temporales y permanentes y propone cómo transformar una en otra.</w:t>
      </w:r>
    </w:p>
    <w:p>
      <w:pPr>
        <w:pStyle w:val="ListBullet"/>
      </w:pPr>
      <w:r>
        <w:t>Juega la Italiana y la Española con blancas o negras siguiendo sus ideas centrales y evita las celadas más conocidas de esas aperturas.</w:t>
      </w:r>
    </w:p>
    <w:p>
      <w:pPr>
        <w:pStyle w:val="ListBullet"/>
      </w:pPr>
      <w:r>
        <w:t>Ubica sus torres en columnas abiertas, aprovecha la séptima fila y busca puestos avanzados para sus caballos.</w:t>
      </w:r>
    </w:p>
    <w:p>
      <w:pPr>
        <w:pStyle w:val="ListBullet"/>
      </w:pPr>
      <w:r>
        <w:t>Gana o defiende finales de peones con triangulación, oposición a distancia, maniobra de Réti y el método de dama contra peón en séptima.</w:t>
      </w:r>
    </w:p>
    <w:p>
      <w:pPr>
        <w:pStyle w:val="ListBullet"/>
      </w:pPr>
      <w:r>
        <w:t>Trabaja en equipo en un proyecto con avances fechados y expone sus conclusiones con apoyo de tableros, fichas o recursos digitales.</w:t>
      </w:r>
    </w:p>
    <w:p>
      <w:pPr>
        <w:pStyle w:val="Heading1"/>
      </w:pPr>
      <w:r>
        <w:t>7. Orientaciones metodológicas</w:t>
      </w:r>
    </w:p>
    <w:p>
      <w:pPr>
        <w:jc w:val="both"/>
      </w:pPr>
      <w:r>
        <w:t>En el III Ciclo se combinan tres formatos: la clase de análisis (una partida o posición proyectada y discutida), el taller de ejercicios por niveles y la partida con reloj anotada. La persona adolescente necesita argumentar; por eso se pide siempre que explique por qué eligió una jugada.</w:t>
      </w:r>
    </w:p>
    <w:p>
      <w:pPr>
        <w:jc w:val="both"/>
      </w:pPr>
      <w:r>
        <w:rPr>
          <w:b/>
        </w:rPr>
        <w:t>Organización del aula.</w:t>
      </w:r>
      <w:r>
        <w:t xml:space="preserve"> Las lecciones funcionan mejor con el grupo en parejas, un tablero por pareja y el tablero mural al frente. Cuando no hay tableros suficientes, se juega en equipos de dos contra dos, que además obliga a conversar la jugada antes de hacerla.</w:t>
      </w:r>
    </w:p>
    <w:p>
      <w:pPr>
        <w:jc w:val="both"/>
      </w:pPr>
      <w:r>
        <w:rPr>
          <w:b/>
        </w:rPr>
        <w:t>Material mínimo.</w:t>
      </w:r>
      <w:r>
        <w:t xml:space="preserve"> Un tablero y un juego de piezas por pareja, un tablero mural magnético o de tela, hojas de trabajo y planillas. Desde el II Ciclo, al menos un reloj de ajedrez por cada cuatro estudiantes. Para algunas lecciones de III Ciclo y Diversificada, el laboratorio de informática o un proyector.</w:t>
      </w:r>
    </w:p>
    <w:p>
      <w:pPr>
        <w:jc w:val="both"/>
      </w:pPr>
      <w:r>
        <w:rPr>
          <w:b/>
        </w:rPr>
        <w:t>Diversidad en el aula.</w:t>
      </w:r>
      <w:r>
        <w:t xml:space="preserve"> Cada lección admite tres entradas: quien va empezando trabaja con menos piezas o con ayuda de una compañera o compañero; quien avanza recibe el mismo reto con una condición más; quien ya domina el tema hace de monitor. Para estudiantes con discapacidad visual se usan tableros con relieve y piezas con espiga, y las jugadas se dicen en voz alta con la notación; para quien necesita más tiempo, se reducen los ejercicios sin bajar la exigencia de razonar.</w:t>
      </w:r>
    </w:p>
    <w:p>
      <w:pPr>
        <w:jc w:val="both"/>
      </w:pPr>
      <w:r>
        <w:rPr>
          <w:b/>
        </w:rPr>
        <w:t>Juego y competencia.</w:t>
      </w:r>
      <w:r>
        <w:t xml:space="preserve"> La competencia es un recurso, no el centro. Se juegan partidas y torneos, pero se valora tanto el modo de jugar (anotar, pensar el tiempo necesario, saludar, analizar después) como el resultado.</w:t>
      </w:r>
    </w:p>
    <w:p>
      <w:pPr>
        <w:jc w:val="both"/>
      </w:pPr>
      <w:r>
        <w:rPr>
          <w:b/>
        </w:rPr>
        <w:t>Relación con la familia.</w:t>
      </w:r>
      <w:r>
        <w:t xml:space="preserve"> Varias tareas invitan a jugar en casa con alguien de la familia. Así el aprendizaje sale del aula y la familia conoce lo que se trabaja.</w:t>
      </w:r>
    </w:p>
    <w:p>
      <w:pPr>
        <w:pStyle w:val="Heading1"/>
      </w:pPr>
      <w:r>
        <w:t>8. Orientaciones para la evaluación</w:t>
      </w:r>
    </w:p>
    <w:p>
      <w:pPr>
        <w:jc w:val="both"/>
      </w:pPr>
      <w:r>
        <w:t xml:space="preserve">La evaluación se ajusta al Reglamento de Evaluación de los Aprendizajes vigente. Tiene tres funciones que se complementan: </w:t>
      </w:r>
      <w:r>
        <w:rPr>
          <w:b/>
        </w:rPr>
        <w:t>diagnóstica</w:t>
      </w:r>
      <w:r>
        <w:t xml:space="preserve">, al inicio del curso y de cada unidad, para conocer lo que el grupo trae; </w:t>
      </w:r>
      <w:r>
        <w:rPr>
          <w:b/>
        </w:rPr>
        <w:t>formativa</w:t>
      </w:r>
      <w:r>
        <w:t xml:space="preserve">, casi todos los días, para que cada estudiante sepa cómo va y la persona docente ajuste lo que hace; y </w:t>
      </w:r>
      <w:r>
        <w:rPr>
          <w:b/>
        </w:rPr>
        <w:t>sumativa</w:t>
      </w:r>
      <w:r>
        <w:t>, para certificar el logro de los aprendizajes esperados.</w:t>
      </w:r>
    </w:p>
    <w:p>
      <w:pPr>
        <w:jc w:val="both"/>
      </w:pPr>
      <w:r>
        <w:t>En ajedrez, la evidencia más valiosa es lo que la persona estudiante hace frente al tablero. Por eso predominan la observación con escalas de desempeño y listas de cotejo, la prueba de ejecución (resolver posiciones, jugar con una consigna, demostrar un mate o un final), el análisis escrito de partidas propias y el portafolio. Las pruebas escritas se usan poco y siempre con tablero a la vista.</w:t>
      </w:r>
    </w:p>
    <w:p>
      <w:pPr>
        <w:jc w:val="both"/>
      </w:pPr>
      <w:r>
        <w:t xml:space="preserve">Cada indicador tiene tres niveles de desempeño: </w:t>
      </w:r>
      <w:r>
        <w:rPr>
          <w:b/>
        </w:rPr>
        <w:t>inicial</w:t>
      </w:r>
      <w:r>
        <w:t xml:space="preserve"> (reconoce, menciona, identifica con ayuda), </w:t>
      </w:r>
      <w:r>
        <w:rPr>
          <w:b/>
        </w:rPr>
        <w:t>intermedio</w:t>
      </w:r>
      <w:r>
        <w:t xml:space="preserve"> (describe, ejecuta, aplica en situaciones conocidas) y </w:t>
      </w:r>
      <w:r>
        <w:rPr>
          <w:b/>
        </w:rPr>
        <w:t>avanzado</w:t>
      </w:r>
      <w:r>
        <w:t xml:space="preserve"> (aplica en situaciones nuevas, justifica, crea). La calificación del trabajo cotidiano sale de esos niveles registrados a lo largo de la unidad, no de una sola observación.</w:t>
      </w:r>
    </w:p>
    <w:p>
      <w:pPr>
        <w:jc w:val="both"/>
      </w:pPr>
      <w:r>
        <w:t>Se practican la autoevaluación (la persona estudiante revisa su partida y marca qué hizo bien) y la coevaluación (la pareja comenta la partida con una guía corta). Las adecuaciones curriculares y los apoyos educativos se aplican según lo que establezca el expediente de cada estudiante.</w:t>
      </w:r>
    </w:p>
    <w:p>
      <w:r>
        <w:rPr>
          <w:b/>
        </w:rPr>
        <w:t>Componentes de la calificación</w:t>
      </w:r>
    </w:p>
    <w:tbl>
      <w:tblPr>
        <w:tblStyle w:val="TableGrid"/>
        <w:tblW w:type="auto" w:w="0"/>
        <w:jc w:val="center"/>
        <w:tblLayout w:type="fixed"/>
        <w:tblLook w:firstColumn="1" w:firstRow="1" w:lastColumn="0" w:lastRow="0" w:noHBand="0" w:noVBand="1" w:val="04A0"/>
      </w:tblPr>
      <w:tblGrid>
        <w:gridCol w:w="4535"/>
        <w:gridCol w:w="2268"/>
      </w:tblGrid>
      <w:tr>
        <w:trPr>
          <w:tblHeader w:val="true"/>
        </w:trPr>
        <w:tc>
          <w:tcPr>
            <w:tcW w:type="dxa" w:w="4535"/>
            <w:shd w:val="clear" w:color="auto" w:fill="1F3A5F"/>
          </w:tcPr>
          <w:p>
            <w:pPr>
              <w:pStyle w:val="Celda9NFFFFFFS"/>
            </w:pPr>
            <w:r/>
            <w:r>
              <w:t>Componente</w:t>
            </w:r>
          </w:p>
        </w:tc>
        <w:tc>
          <w:tcPr>
            <w:tcW w:type="dxa" w:w="2268"/>
            <w:shd w:val="clear" w:color="auto" w:fill="1F3A5F"/>
          </w:tcPr>
          <w:p>
            <w:pPr>
              <w:pStyle w:val="Celda9NFFFFFFS"/>
            </w:pPr>
            <w:r/>
            <w:r>
              <w:t>Porcentaje</w:t>
            </w:r>
          </w:p>
        </w:tc>
      </w:tr>
      <w:tr>
        <w:tc>
          <w:tcPr>
            <w:tcW w:type="dxa" w:w="4535"/>
          </w:tcPr>
          <w:p>
            <w:pPr>
              <w:pStyle w:val="Celda9RXS"/>
            </w:pPr>
            <w:r/>
            <w:r>
              <w:t>Trabajo cotidiano</w:t>
            </w:r>
          </w:p>
        </w:tc>
        <w:tc>
          <w:tcPr>
            <w:tcW w:type="dxa" w:w="2268"/>
          </w:tcPr>
          <w:p>
            <w:pPr>
              <w:pStyle w:val="Celda9RXS"/>
            </w:pPr>
            <w:r/>
            <w:r>
              <w:t>35 %</w:t>
            </w:r>
          </w:p>
        </w:tc>
      </w:tr>
      <w:tr>
        <w:tc>
          <w:tcPr>
            <w:tcW w:type="dxa" w:w="4535"/>
          </w:tcPr>
          <w:p>
            <w:pPr>
              <w:pStyle w:val="Celda9RXS"/>
            </w:pPr>
            <w:r/>
            <w:r>
              <w:t>Tareas</w:t>
            </w:r>
          </w:p>
        </w:tc>
        <w:tc>
          <w:tcPr>
            <w:tcW w:type="dxa" w:w="2268"/>
          </w:tcPr>
          <w:p>
            <w:pPr>
              <w:pStyle w:val="Celda9RXS"/>
            </w:pPr>
            <w:r/>
            <w:r>
              <w:t>10 %</w:t>
            </w:r>
          </w:p>
        </w:tc>
      </w:tr>
      <w:tr>
        <w:tc>
          <w:tcPr>
            <w:tcW w:type="dxa" w:w="4535"/>
          </w:tcPr>
          <w:p>
            <w:pPr>
              <w:pStyle w:val="Celda9RXS"/>
            </w:pPr>
            <w:r/>
            <w:r>
              <w:t>Prueba de ejecución</w:t>
            </w:r>
          </w:p>
        </w:tc>
        <w:tc>
          <w:tcPr>
            <w:tcW w:type="dxa" w:w="2268"/>
          </w:tcPr>
          <w:p>
            <w:pPr>
              <w:pStyle w:val="Celda9RXS"/>
            </w:pPr>
            <w:r/>
            <w:r>
              <w:t>25 %</w:t>
            </w:r>
          </w:p>
        </w:tc>
      </w:tr>
      <w:tr>
        <w:tc>
          <w:tcPr>
            <w:tcW w:type="dxa" w:w="4535"/>
          </w:tcPr>
          <w:p>
            <w:pPr>
              <w:pStyle w:val="Celda9RXS"/>
            </w:pPr>
            <w:r/>
            <w:r>
              <w:t>Proyecto</w:t>
            </w:r>
          </w:p>
        </w:tc>
        <w:tc>
          <w:tcPr>
            <w:tcW w:type="dxa" w:w="2268"/>
          </w:tcPr>
          <w:p>
            <w:pPr>
              <w:pStyle w:val="Celda9RXS"/>
            </w:pPr>
            <w:r/>
            <w:r>
              <w:t>20 %</w:t>
            </w:r>
          </w:p>
        </w:tc>
      </w:tr>
      <w:tr>
        <w:tc>
          <w:tcPr>
            <w:tcW w:type="dxa" w:w="4535"/>
          </w:tcPr>
          <w:p>
            <w:pPr>
              <w:pStyle w:val="Celda9RXS"/>
            </w:pPr>
            <w:r/>
            <w:r>
              <w:t>Asistencia</w:t>
            </w:r>
          </w:p>
        </w:tc>
        <w:tc>
          <w:tcPr>
            <w:tcW w:type="dxa" w:w="2268"/>
          </w:tcPr>
          <w:p>
            <w:pPr>
              <w:pStyle w:val="Celda9RXS"/>
            </w:pPr>
            <w:r/>
            <w:r>
              <w:t>10 %</w:t>
            </w:r>
          </w:p>
        </w:tc>
      </w:tr>
    </w:tbl>
    <w:p>
      <w:r>
        <w:rPr>
          <w:i/>
          <w:color w:val="555555"/>
          <w:sz w:val="18"/>
        </w:rPr>
        <w:t>Distribución propuesta para una asignatura de este tipo. La institución la ajusta a lo que disponga el Reglamento de Evaluación de los Aprendizajes vigente y la normativa del nivel.</w:t>
      </w:r>
    </w:p>
    <w:p>
      <w:pPr>
        <w:pStyle w:val="Heading1"/>
      </w:pPr>
      <w:r>
        <w:t>9. Distribución del tiempo</w:t>
      </w:r>
    </w:p>
    <w:p>
      <w:pPr>
        <w:jc w:val="both"/>
      </w:pPr>
      <w:r>
        <w:t>El año se planifica en 40 semanas de 5 lecciones de 40 minutos, para un total de 200 lecciones, distribuidas en dos semestres. Los días marcados como flexibles en el planeamiento permiten ajustar el plan al calendario escolar oficial del año.</w:t>
      </w:r>
    </w:p>
    <w:tbl>
      <w:tblPr>
        <w:tblStyle w:val="TableGrid"/>
        <w:tblW w:type="auto" w:w="0"/>
        <w:jc w:val="center"/>
        <w:tblLayout w:type="fixed"/>
        <w:tblLook w:firstColumn="1" w:firstRow="1" w:lastColumn="0" w:lastRow="0" w:noHBand="0" w:noVBand="1" w:val="04A0"/>
      </w:tblPr>
      <w:tblGrid>
        <w:gridCol w:w="4535"/>
        <w:gridCol w:w="1134"/>
        <w:gridCol w:w="1361"/>
        <w:gridCol w:w="1361"/>
        <w:gridCol w:w="1247"/>
      </w:tblGrid>
      <w:tr>
        <w:trPr>
          <w:tblHeader w:val="true"/>
        </w:trPr>
        <w:tc>
          <w:tcPr>
            <w:tcW w:type="dxa" w:w="4535"/>
            <w:shd w:val="clear" w:color="auto" w:fill="1F3A5F"/>
          </w:tcPr>
          <w:p>
            <w:pPr>
              <w:pStyle w:val="Celda9NFFFFFFS"/>
            </w:pPr>
            <w:r/>
            <w:r>
              <w:t>Unidad</w:t>
            </w:r>
          </w:p>
        </w:tc>
        <w:tc>
          <w:tcPr>
            <w:tcW w:type="dxa" w:w="1134"/>
            <w:shd w:val="clear" w:color="auto" w:fill="1F3A5F"/>
          </w:tcPr>
          <w:p>
            <w:pPr>
              <w:pStyle w:val="Celda9NFFFFFFS"/>
            </w:pPr>
            <w:r/>
            <w:r>
              <w:t>Semestre</w:t>
            </w:r>
          </w:p>
        </w:tc>
        <w:tc>
          <w:tcPr>
            <w:tcW w:type="dxa" w:w="1361"/>
            <w:shd w:val="clear" w:color="auto" w:fill="1F3A5F"/>
          </w:tcPr>
          <w:p>
            <w:pPr>
              <w:pStyle w:val="Celda9NFFFFFFS"/>
            </w:pPr>
            <w:r/>
            <w:r>
              <w:t>Lecciones</w:t>
            </w:r>
          </w:p>
        </w:tc>
        <w:tc>
          <w:tcPr>
            <w:tcW w:type="dxa" w:w="1361"/>
            <w:shd w:val="clear" w:color="auto" w:fill="1F3A5F"/>
          </w:tcPr>
          <w:p>
            <w:pPr>
              <w:pStyle w:val="Celda9NFFFFFFS"/>
            </w:pPr>
            <w:r/>
            <w:r>
              <w:t>Semanas</w:t>
            </w:r>
          </w:p>
        </w:tc>
        <w:tc>
          <w:tcPr>
            <w:tcW w:type="dxa" w:w="1247"/>
            <w:shd w:val="clear" w:color="auto" w:fill="1F3A5F"/>
          </w:tcPr>
          <w:p>
            <w:pPr>
              <w:pStyle w:val="Celda9NFFFFFFS"/>
            </w:pPr>
            <w:r/>
            <w:r>
              <w:t>Total</w:t>
            </w:r>
          </w:p>
        </w:tc>
      </w:tr>
      <w:tr>
        <w:tc>
          <w:tcPr>
            <w:tcW w:type="dxa" w:w="4535"/>
          </w:tcPr>
          <w:p>
            <w:pPr>
              <w:pStyle w:val="Celda9RXS"/>
            </w:pPr>
            <w:r/>
            <w:r>
              <w:t>1. Diagnóstico, nivelación y temas combinativos básicos</w:t>
            </w:r>
          </w:p>
        </w:tc>
        <w:tc>
          <w:tcPr>
            <w:tcW w:type="dxa" w:w="1134"/>
          </w:tcPr>
          <w:p>
            <w:pPr>
              <w:pStyle w:val="Celda9RXS"/>
            </w:pPr>
            <w:r/>
            <w:r>
              <w:t>I</w:t>
            </w:r>
          </w:p>
        </w:tc>
        <w:tc>
          <w:tcPr>
            <w:tcW w:type="dxa" w:w="1361"/>
          </w:tcPr>
          <w:p>
            <w:pPr>
              <w:pStyle w:val="Celda9RXS"/>
            </w:pPr>
            <w:r/>
            <w:r>
              <w:t>1 a 35</w:t>
            </w:r>
          </w:p>
        </w:tc>
        <w:tc>
          <w:tcPr>
            <w:tcW w:type="dxa" w:w="1361"/>
          </w:tcPr>
          <w:p>
            <w:pPr>
              <w:pStyle w:val="Celda9RXS"/>
            </w:pPr>
            <w:r/>
            <w:r>
              <w:t>1 a 7</w:t>
            </w:r>
          </w:p>
        </w:tc>
        <w:tc>
          <w:tcPr>
            <w:tcW w:type="dxa" w:w="1247"/>
          </w:tcPr>
          <w:p>
            <w:pPr>
              <w:pStyle w:val="Celda9RXS"/>
            </w:pPr>
            <w:r/>
            <w:r>
              <w:t>35</w:t>
            </w:r>
          </w:p>
        </w:tc>
      </w:tr>
      <w:tr>
        <w:tc>
          <w:tcPr>
            <w:tcW w:type="dxa" w:w="4535"/>
          </w:tcPr>
          <w:p>
            <w:pPr>
              <w:pStyle w:val="Celda9RXS"/>
            </w:pPr>
            <w:r/>
            <w:r>
              <w:t>2. Evaluar una posición: los cinco factores de Steinitz</w:t>
            </w:r>
          </w:p>
        </w:tc>
        <w:tc>
          <w:tcPr>
            <w:tcW w:type="dxa" w:w="1134"/>
          </w:tcPr>
          <w:p>
            <w:pPr>
              <w:pStyle w:val="Celda9RXS"/>
            </w:pPr>
            <w:r/>
            <w:r>
              <w:t>I</w:t>
            </w:r>
          </w:p>
        </w:tc>
        <w:tc>
          <w:tcPr>
            <w:tcW w:type="dxa" w:w="1361"/>
          </w:tcPr>
          <w:p>
            <w:pPr>
              <w:pStyle w:val="Celda9RXS"/>
            </w:pPr>
            <w:r/>
            <w:r>
              <w:t>36 a 70</w:t>
            </w:r>
          </w:p>
        </w:tc>
        <w:tc>
          <w:tcPr>
            <w:tcW w:type="dxa" w:w="1361"/>
          </w:tcPr>
          <w:p>
            <w:pPr>
              <w:pStyle w:val="Celda9RXS"/>
            </w:pPr>
            <w:r/>
            <w:r>
              <w:t>8 a 14</w:t>
            </w:r>
          </w:p>
        </w:tc>
        <w:tc>
          <w:tcPr>
            <w:tcW w:type="dxa" w:w="1247"/>
          </w:tcPr>
          <w:p>
            <w:pPr>
              <w:pStyle w:val="Celda9RXS"/>
            </w:pPr>
            <w:r/>
            <w:r>
              <w:t>35</w:t>
            </w:r>
          </w:p>
        </w:tc>
      </w:tr>
      <w:tr>
        <w:tc>
          <w:tcPr>
            <w:tcW w:type="dxa" w:w="4535"/>
          </w:tcPr>
          <w:p>
            <w:pPr>
              <w:pStyle w:val="Celda9RXS"/>
            </w:pPr>
            <w:r/>
            <w:r>
              <w:t>3. Repertorio con 1.e4 e5: la Italiana y la Española</w:t>
            </w:r>
          </w:p>
        </w:tc>
        <w:tc>
          <w:tcPr>
            <w:tcW w:type="dxa" w:w="1134"/>
          </w:tcPr>
          <w:p>
            <w:pPr>
              <w:pStyle w:val="Celda9RXS"/>
            </w:pPr>
            <w:r/>
            <w:r>
              <w:t>I</w:t>
            </w:r>
          </w:p>
        </w:tc>
        <w:tc>
          <w:tcPr>
            <w:tcW w:type="dxa" w:w="1361"/>
          </w:tcPr>
          <w:p>
            <w:pPr>
              <w:pStyle w:val="Celda9RXS"/>
            </w:pPr>
            <w:r/>
            <w:r>
              <w:t>71 a 100</w:t>
            </w:r>
          </w:p>
        </w:tc>
        <w:tc>
          <w:tcPr>
            <w:tcW w:type="dxa" w:w="1361"/>
          </w:tcPr>
          <w:p>
            <w:pPr>
              <w:pStyle w:val="Celda9RXS"/>
            </w:pPr>
            <w:r/>
            <w:r>
              <w:t>15 a 20</w:t>
            </w:r>
          </w:p>
        </w:tc>
        <w:tc>
          <w:tcPr>
            <w:tcW w:type="dxa" w:w="1247"/>
          </w:tcPr>
          <w:p>
            <w:pPr>
              <w:pStyle w:val="Celda9RXS"/>
            </w:pPr>
            <w:r/>
            <w:r>
              <w:t>30</w:t>
            </w:r>
          </w:p>
        </w:tc>
      </w:tr>
      <w:tr>
        <w:tc>
          <w:tcPr>
            <w:tcW w:type="dxa" w:w="4535"/>
          </w:tcPr>
          <w:p>
            <w:pPr>
              <w:pStyle w:val="Celda9RXS"/>
            </w:pPr>
            <w:r/>
            <w:r>
              <w:t>4. Columnas abiertas, séptima fila, casillas fuertes y puestos avanzados</w:t>
            </w:r>
          </w:p>
        </w:tc>
        <w:tc>
          <w:tcPr>
            <w:tcW w:type="dxa" w:w="1134"/>
          </w:tcPr>
          <w:p>
            <w:pPr>
              <w:pStyle w:val="Celda9RXS"/>
            </w:pPr>
            <w:r/>
            <w:r>
              <w:t>II</w:t>
            </w:r>
          </w:p>
        </w:tc>
        <w:tc>
          <w:tcPr>
            <w:tcW w:type="dxa" w:w="1361"/>
          </w:tcPr>
          <w:p>
            <w:pPr>
              <w:pStyle w:val="Celda9RXS"/>
            </w:pPr>
            <w:r/>
            <w:r>
              <w:t>101 a 135</w:t>
            </w:r>
          </w:p>
        </w:tc>
        <w:tc>
          <w:tcPr>
            <w:tcW w:type="dxa" w:w="1361"/>
          </w:tcPr>
          <w:p>
            <w:pPr>
              <w:pStyle w:val="Celda9RXS"/>
            </w:pPr>
            <w:r/>
            <w:r>
              <w:t>21 a 27</w:t>
            </w:r>
          </w:p>
        </w:tc>
        <w:tc>
          <w:tcPr>
            <w:tcW w:type="dxa" w:w="1247"/>
          </w:tcPr>
          <w:p>
            <w:pPr>
              <w:pStyle w:val="Celda9RXS"/>
            </w:pPr>
            <w:r/>
            <w:r>
              <w:t>35</w:t>
            </w:r>
          </w:p>
        </w:tc>
      </w:tr>
      <w:tr>
        <w:tc>
          <w:tcPr>
            <w:tcW w:type="dxa" w:w="4535"/>
          </w:tcPr>
          <w:p>
            <w:pPr>
              <w:pStyle w:val="Celda9RXS"/>
            </w:pPr>
            <w:r/>
            <w:r>
              <w:t>5. Finales de peones avanzados</w:t>
            </w:r>
          </w:p>
        </w:tc>
        <w:tc>
          <w:tcPr>
            <w:tcW w:type="dxa" w:w="1134"/>
          </w:tcPr>
          <w:p>
            <w:pPr>
              <w:pStyle w:val="Celda9RXS"/>
            </w:pPr>
            <w:r/>
            <w:r>
              <w:t>II</w:t>
            </w:r>
          </w:p>
        </w:tc>
        <w:tc>
          <w:tcPr>
            <w:tcW w:type="dxa" w:w="1361"/>
          </w:tcPr>
          <w:p>
            <w:pPr>
              <w:pStyle w:val="Celda9RXS"/>
            </w:pPr>
            <w:r/>
            <w:r>
              <w:t>136 a 168</w:t>
            </w:r>
          </w:p>
        </w:tc>
        <w:tc>
          <w:tcPr>
            <w:tcW w:type="dxa" w:w="1361"/>
          </w:tcPr>
          <w:p>
            <w:pPr>
              <w:pStyle w:val="Celda9RXS"/>
            </w:pPr>
            <w:r/>
            <w:r>
              <w:t>28 a 34</w:t>
            </w:r>
          </w:p>
        </w:tc>
        <w:tc>
          <w:tcPr>
            <w:tcW w:type="dxa" w:w="1247"/>
          </w:tcPr>
          <w:p>
            <w:pPr>
              <w:pStyle w:val="Celda9RXS"/>
            </w:pPr>
            <w:r/>
            <w:r>
              <w:t>33</w:t>
            </w:r>
          </w:p>
        </w:tc>
      </w:tr>
      <w:tr>
        <w:tc>
          <w:tcPr>
            <w:tcW w:type="dxa" w:w="4535"/>
          </w:tcPr>
          <w:p>
            <w:pPr>
              <w:pStyle w:val="Celda9RXS"/>
            </w:pPr>
            <w:r/>
            <w:r>
              <w:t>6. Partidas ilustrativas y proyecto de cierre</w:t>
            </w:r>
          </w:p>
        </w:tc>
        <w:tc>
          <w:tcPr>
            <w:tcW w:type="dxa" w:w="1134"/>
          </w:tcPr>
          <w:p>
            <w:pPr>
              <w:pStyle w:val="Celda9RXS"/>
            </w:pPr>
            <w:r/>
            <w:r>
              <w:t>II</w:t>
            </w:r>
          </w:p>
        </w:tc>
        <w:tc>
          <w:tcPr>
            <w:tcW w:type="dxa" w:w="1361"/>
          </w:tcPr>
          <w:p>
            <w:pPr>
              <w:pStyle w:val="Celda9RXS"/>
            </w:pPr>
            <w:r/>
            <w:r>
              <w:t>169 a 200</w:t>
            </w:r>
          </w:p>
        </w:tc>
        <w:tc>
          <w:tcPr>
            <w:tcW w:type="dxa" w:w="1361"/>
          </w:tcPr>
          <w:p>
            <w:pPr>
              <w:pStyle w:val="Celda9RXS"/>
            </w:pPr>
            <w:r/>
            <w:r>
              <w:t>34 a 40</w:t>
            </w:r>
          </w:p>
        </w:tc>
        <w:tc>
          <w:tcPr>
            <w:tcW w:type="dxa" w:w="1247"/>
          </w:tcPr>
          <w:p>
            <w:pPr>
              <w:pStyle w:val="Celda9RXS"/>
            </w:pPr>
            <w:r/>
            <w:r>
              <w:t>32</w:t>
            </w:r>
          </w:p>
        </w:tc>
      </w:tr>
    </w:tbl>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Sétimo año  ·  Parte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Sétimo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Sétimo año</dc:title>
  <dc:subject>Programa de estudio de Ajedrez, Sétimo año, III Ciclo de la Educación General Básica</dc:subject>
  <dc:creator>Oscar Angulo Cubero</dc:creator>
  <cp:keywords>ajedrez; programa de estudio; sétimo año; III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