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Sexto año</w:t>
      </w:r>
    </w:p>
    <w:p>
      <w:pPr>
        <w:spacing w:after="80"/>
        <w:jc w:val="center"/>
      </w:pPr>
      <w:r>
        <w:rPr>
          <w:sz w:val="26"/>
        </w:rPr>
        <w:t>II Ciclo de la Educación General Básica</w:t>
      </w:r>
    </w:p>
    <w:p>
      <w:pPr>
        <w:spacing w:after="1200"/>
        <w:jc w:val="center"/>
      </w:pPr>
      <w:r>
        <w:rPr>
          <w:color w:val="555555"/>
          <w:sz w:val="22"/>
        </w:rPr>
        <w:t>Edad de referencia: 11 a 12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sexto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sexto año del 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sexto año</w:t>
      </w:r>
    </w:p>
    <w:p>
      <w:pPr>
        <w:jc w:val="both"/>
      </w:pPr>
      <w:r>
        <w:t>Sexto año es el último de la escuela, y el estudiantado lo sabe: llega con ganas de que se le trate como gente grande y con la cabeza puesta en el colegio. En ajedrez trae lo de quinto: los temas tácticos sueltos (desviación, atracción, eliminación de la defensa, sobrecarga), los mates con nombre, las aperturas abiertas, los finales de peones con peón pasado y algunas partidas históricas como la de la ópera de Morphy. Ya anota sus partidas, conoce el reloj y sabe que una pieza indefensa es una invitación.</w:t>
      </w:r>
    </w:p>
    <w:p>
      <w:pPr>
        <w:jc w:val="both"/>
      </w:pPr>
      <w:r>
        <w:t>Este programa toma el Manual 2 (Principios básicos) y el Manual 3 (Elementos técnicos) de Guil Russek como fuentes principales, con apoyo en el Manual 5 para los ejercicios. El primer semestre trabaja la manera de pensar: sumar temas tácticos en combinaciones, revisar las amenazas con las preguntas de control antes de mover, escoger jugadas candidatas y calcular variantes cortas sin tocar las piezas; luego aparece la estructura de peones como el esqueleto de la posición. El segundo semestre pasa a los finales de torre, los más frecuentes en la práctica (torre contra peón, la idea de Lucena y la de Philidor), y al reglamento de la FIDE con el reloj, la planilla y el arbitraje escolar.</w:t>
      </w:r>
    </w:p>
    <w:p>
      <w:pPr>
        <w:jc w:val="both"/>
      </w:pPr>
      <w:r>
        <w:t>El año cierra con un torneo escolar que el propio grupo organiza, arbitra y documenta, y con un proyecto de cierre de la primaria: la memoria del torneo y una carta para quien llega a sexto el año siguiente. La persona estudiante sale hacia sétimo con una rutina de pensamiento propia, con los finales de torre básicos en las manos y con la experiencia de haber estado del otro lado de la mesa, como árbitro y organizadora, lo que le sirve en el colegio dentro y fuera del ajedrez.</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sexto año</w:t>
      </w:r>
    </w:p>
    <w:p>
      <w:r>
        <w:rPr>
          <w:b/>
        </w:rPr>
        <w:t>Conocimientos que se esperan al iniciar el año:</w:t>
      </w:r>
    </w:p>
    <w:p>
      <w:pPr>
        <w:pStyle w:val="ListBullet"/>
      </w:pPr>
      <w:r>
        <w:t>Mueve todas las piezas, conoce las reglas especiales (enroque, captura al paso, coronación) y anota en notación algebraica.</w:t>
      </w:r>
    </w:p>
    <w:p>
      <w:pPr>
        <w:pStyle w:val="ListBullet"/>
      </w:pPr>
      <w:r>
        <w:t>Reconoce ataque doble, clavada, descubierta, desviación, atracción, eliminación de la defensa y sobrecarga en posiciones de un solo tema.</w:t>
      </w:r>
    </w:p>
    <w:p>
      <w:pPr>
        <w:pStyle w:val="ListBullet"/>
      </w:pPr>
      <w:r>
        <w:t>Da mate con dama y rey y con torre y rey contra rey solo, y conoce los mates del pasillo y de Légal.</w:t>
      </w:r>
    </w:p>
    <w:p>
      <w:pPr>
        <w:pStyle w:val="ListBullet"/>
      </w:pPr>
      <w:r>
        <w:t>Aplica la regla del cuadrado y la oposición en finales de rey y peón contra rey.</w:t>
      </w:r>
    </w:p>
    <w:p>
      <w:pPr>
        <w:pStyle w:val="ListBullet"/>
      </w:pPr>
      <w:r>
        <w:t>Conoce los principios de la apertura y ha jugado partidas con reloj en el torneo de aula de quinto año.</w:t>
      </w:r>
    </w:p>
    <w:p>
      <w:pPr>
        <w:pStyle w:val="ListBullet"/>
      </w:pPr>
      <w:r>
        <w:t>Quien llega sin haber cursado quinto (traslado o ingreso tardío) se nivela en el repaso de la unidad 1 con fichas del Manual 2 y apoyo de una persona compañera.</w:t>
      </w:r>
    </w:p>
    <w:p>
      <w:r>
        <w:rPr>
          <w:b/>
        </w:rPr>
        <w:t>Al finalizar el año, la persona estudiante:</w:t>
      </w:r>
    </w:p>
    <w:p>
      <w:pPr>
        <w:pStyle w:val="ListBullet"/>
      </w:pPr>
      <w:r>
        <w:t>Reconoce combinaciones de dos o más temas tácticos en partidas reales y explica qué tema abre paso al siguiente.</w:t>
      </w:r>
    </w:p>
    <w:p>
      <w:pPr>
        <w:pStyle w:val="ListBullet"/>
      </w:pPr>
      <w:r>
        <w:t>Aplica las preguntas de control del Manual 2 antes de cada jugada en sus partidas con reloj.</w:t>
      </w:r>
    </w:p>
    <w:p>
      <w:pPr>
        <w:pStyle w:val="ListBullet"/>
      </w:pPr>
      <w:r>
        <w:t>Escoge dos o tres jugadas candidatas (jaques, capturas y amenazas), las compara y calcula una variante corta sin mover las piezas.</w:t>
      </w:r>
    </w:p>
    <w:p>
      <w:pPr>
        <w:pStyle w:val="ListBullet"/>
      </w:pPr>
      <w:r>
        <w:t>Identifica peones aislados, doblados, retrasados, pasados y cadenas, y relaciona cada estructura con un plan sencillo.</w:t>
      </w:r>
    </w:p>
    <w:p>
      <w:pPr>
        <w:pStyle w:val="ListBullet"/>
      </w:pPr>
      <w:r>
        <w:t>Gana el final de torre contra peón cuando el rey rival está cortado y conoce las ideas de Lucena (construir el puente) y de Philidor (la defensa de la tercera fila).</w:t>
      </w:r>
    </w:p>
    <w:p>
      <w:pPr>
        <w:pStyle w:val="ListBullet"/>
      </w:pPr>
      <w:r>
        <w:t>Juega con reloj, anota en planilla sin errores y resuelve como árbitro escolar las situaciones más comunes según las Leyes del Ajedrez de la FIDE.</w:t>
      </w:r>
    </w:p>
    <w:p>
      <w:pPr>
        <w:pStyle w:val="ListBullet"/>
      </w:pPr>
      <w:r>
        <w:t>Participa en la organización de un torneo escolar asumiendo una función en una comisión y respetando los acuerdos del grupo.</w:t>
      </w:r>
    </w:p>
    <w:p>
      <w:pPr>
        <w:pStyle w:val="ListBullet"/>
      </w:pPr>
      <w:r>
        <w:t>Valora su recorrido en la primaria, reconoce sus fortalezas en el juego y se plantea metas para el colegio.</w:t>
      </w:r>
    </w:p>
    <w:p>
      <w:pPr>
        <w:pStyle w:val="Heading1"/>
      </w:pPr>
      <w:r>
        <w:t>7. Orientaciones metodológicas</w:t>
      </w:r>
    </w:p>
    <w:p>
      <w:pPr>
        <w:jc w:val="both"/>
      </w:pPr>
      <w:r>
        <w:t>En el II Ciclo el grupo ya juega partidas completas. Se introduce la planilla y el reloj, y se pasa de conocer reglas a resolver problemas: la táctica se trabaja con hojas de ejercicios graduadas, siempre comprobando en el tablero.</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45 %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35 %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Combinaciones: sumar temas tácticos</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Pensar antes de mover: preguntas de control, jugadas candidatas y cálculo</w:t>
            </w:r>
          </w:p>
        </w:tc>
        <w:tc>
          <w:tcPr>
            <w:tcW w:type="dxa" w:w="1134"/>
          </w:tcPr>
          <w:p>
            <w:pPr>
              <w:pStyle w:val="Celda9RXS"/>
            </w:pPr>
            <w:r/>
            <w:r>
              <w:t>I</w:t>
            </w:r>
          </w:p>
        </w:tc>
        <w:tc>
          <w:tcPr>
            <w:tcW w:type="dxa" w:w="1361"/>
          </w:tcPr>
          <w:p>
            <w:pPr>
              <w:pStyle w:val="Celda9RXS"/>
            </w:pPr>
            <w:r/>
            <w:r>
              <w:t>35 a 66</w:t>
            </w:r>
          </w:p>
        </w:tc>
        <w:tc>
          <w:tcPr>
            <w:tcW w:type="dxa" w:w="1361"/>
          </w:tcPr>
          <w:p>
            <w:pPr>
              <w:pStyle w:val="Celda9RXS"/>
            </w:pPr>
            <w:r/>
            <w:r>
              <w:t>7 a 14</w:t>
            </w:r>
          </w:p>
        </w:tc>
        <w:tc>
          <w:tcPr>
            <w:tcW w:type="dxa" w:w="1247"/>
          </w:tcPr>
          <w:p>
            <w:pPr>
              <w:pStyle w:val="Celda9RXS"/>
            </w:pPr>
            <w:r/>
            <w:r>
              <w:t>32</w:t>
            </w:r>
          </w:p>
        </w:tc>
      </w:tr>
      <w:tr>
        <w:tc>
          <w:tcPr>
            <w:tcW w:type="dxa" w:w="4535"/>
          </w:tcPr>
          <w:p>
            <w:pPr>
              <w:pStyle w:val="Celda9RXS"/>
            </w:pPr>
            <w:r/>
            <w:r>
              <w:t>3. Estructuras de peones: aislado, doblado, retrasado, pasado y cadenas</w:t>
            </w:r>
          </w:p>
        </w:tc>
        <w:tc>
          <w:tcPr>
            <w:tcW w:type="dxa" w:w="1134"/>
          </w:tcPr>
          <w:p>
            <w:pPr>
              <w:pStyle w:val="Celda9RXS"/>
            </w:pPr>
            <w:r/>
            <w:r>
              <w:t>I</w:t>
            </w:r>
          </w:p>
        </w:tc>
        <w:tc>
          <w:tcPr>
            <w:tcW w:type="dxa" w:w="1361"/>
          </w:tcPr>
          <w:p>
            <w:pPr>
              <w:pStyle w:val="Celda9RXS"/>
            </w:pPr>
            <w:r/>
            <w:r>
              <w:t>67 a 100</w:t>
            </w:r>
          </w:p>
        </w:tc>
        <w:tc>
          <w:tcPr>
            <w:tcW w:type="dxa" w:w="1361"/>
          </w:tcPr>
          <w:p>
            <w:pPr>
              <w:pStyle w:val="Celda9RXS"/>
            </w:pPr>
            <w:r/>
            <w:r>
              <w:t>14 a 20</w:t>
            </w:r>
          </w:p>
        </w:tc>
        <w:tc>
          <w:tcPr>
            <w:tcW w:type="dxa" w:w="1247"/>
          </w:tcPr>
          <w:p>
            <w:pPr>
              <w:pStyle w:val="Celda9RXS"/>
            </w:pPr>
            <w:r/>
            <w:r>
              <w:t>34</w:t>
            </w:r>
          </w:p>
        </w:tc>
      </w:tr>
      <w:tr>
        <w:tc>
          <w:tcPr>
            <w:tcW w:type="dxa" w:w="4535"/>
          </w:tcPr>
          <w:p>
            <w:pPr>
              <w:pStyle w:val="Celda9RXS"/>
            </w:pPr>
            <w:r/>
            <w:r>
              <w:t>4. Finales de torre: torre contra peón, la idea de Lucena y la de Philidor</w:t>
            </w:r>
          </w:p>
        </w:tc>
        <w:tc>
          <w:tcPr>
            <w:tcW w:type="dxa" w:w="1134"/>
          </w:tcPr>
          <w:p>
            <w:pPr>
              <w:pStyle w:val="Celda9RXS"/>
            </w:pPr>
            <w:r/>
            <w:r>
              <w:t>II</w:t>
            </w:r>
          </w:p>
        </w:tc>
        <w:tc>
          <w:tcPr>
            <w:tcW w:type="dxa" w:w="1361"/>
          </w:tcPr>
          <w:p>
            <w:pPr>
              <w:pStyle w:val="Celda9RXS"/>
            </w:pPr>
            <w:r/>
            <w:r>
              <w:t>101 a 134</w:t>
            </w:r>
          </w:p>
        </w:tc>
        <w:tc>
          <w:tcPr>
            <w:tcW w:type="dxa" w:w="1361"/>
          </w:tcPr>
          <w:p>
            <w:pPr>
              <w:pStyle w:val="Celda9RXS"/>
            </w:pPr>
            <w:r/>
            <w:r>
              <w:t>21 a 27</w:t>
            </w:r>
          </w:p>
        </w:tc>
        <w:tc>
          <w:tcPr>
            <w:tcW w:type="dxa" w:w="1247"/>
          </w:tcPr>
          <w:p>
            <w:pPr>
              <w:pStyle w:val="Celda9RXS"/>
            </w:pPr>
            <w:r/>
            <w:r>
              <w:t>34</w:t>
            </w:r>
          </w:p>
        </w:tc>
      </w:tr>
      <w:tr>
        <w:tc>
          <w:tcPr>
            <w:tcW w:type="dxa" w:w="4535"/>
          </w:tcPr>
          <w:p>
            <w:pPr>
              <w:pStyle w:val="Celda9RXS"/>
            </w:pPr>
            <w:r/>
            <w:r>
              <w:t>5. Reglamento FIDE, reloj, anotación y arbitraje escolar</w:t>
            </w:r>
          </w:p>
        </w:tc>
        <w:tc>
          <w:tcPr>
            <w:tcW w:type="dxa" w:w="1134"/>
          </w:tcPr>
          <w:p>
            <w:pPr>
              <w:pStyle w:val="Celda9RXS"/>
            </w:pPr>
            <w:r/>
            <w:r>
              <w:t>II</w:t>
            </w:r>
          </w:p>
        </w:tc>
        <w:tc>
          <w:tcPr>
            <w:tcW w:type="dxa" w:w="1361"/>
          </w:tcPr>
          <w:p>
            <w:pPr>
              <w:pStyle w:val="Celda9RXS"/>
            </w:pPr>
            <w:r/>
            <w:r>
              <w:t>135 a 164</w:t>
            </w:r>
          </w:p>
        </w:tc>
        <w:tc>
          <w:tcPr>
            <w:tcW w:type="dxa" w:w="1361"/>
          </w:tcPr>
          <w:p>
            <w:pPr>
              <w:pStyle w:val="Celda9RXS"/>
            </w:pPr>
            <w:r/>
            <w:r>
              <w:t>27 a 33</w:t>
            </w:r>
          </w:p>
        </w:tc>
        <w:tc>
          <w:tcPr>
            <w:tcW w:type="dxa" w:w="1247"/>
          </w:tcPr>
          <w:p>
            <w:pPr>
              <w:pStyle w:val="Celda9RXS"/>
            </w:pPr>
            <w:r/>
            <w:r>
              <w:t>30</w:t>
            </w:r>
          </w:p>
        </w:tc>
      </w:tr>
      <w:tr>
        <w:tc>
          <w:tcPr>
            <w:tcW w:type="dxa" w:w="4535"/>
          </w:tcPr>
          <w:p>
            <w:pPr>
              <w:pStyle w:val="Celda9RXS"/>
            </w:pPr>
            <w:r/>
            <w:r>
              <w:t>6. Torneo escolar y proyecto de cierre de la primaria</w:t>
            </w:r>
          </w:p>
        </w:tc>
        <w:tc>
          <w:tcPr>
            <w:tcW w:type="dxa" w:w="1134"/>
          </w:tcPr>
          <w:p>
            <w:pPr>
              <w:pStyle w:val="Celda9RXS"/>
            </w:pPr>
            <w:r/>
            <w:r>
              <w:t>II</w:t>
            </w:r>
          </w:p>
        </w:tc>
        <w:tc>
          <w:tcPr>
            <w:tcW w:type="dxa" w:w="1361"/>
          </w:tcPr>
          <w:p>
            <w:pPr>
              <w:pStyle w:val="Celda9RXS"/>
            </w:pPr>
            <w:r/>
            <w:r>
              <w:t>165 a 200</w:t>
            </w:r>
          </w:p>
        </w:tc>
        <w:tc>
          <w:tcPr>
            <w:tcW w:type="dxa" w:w="1361"/>
          </w:tcPr>
          <w:p>
            <w:pPr>
              <w:pStyle w:val="Celda9RXS"/>
            </w:pPr>
            <w:r/>
            <w:r>
              <w:t>33 a 40</w:t>
            </w:r>
          </w:p>
        </w:tc>
        <w:tc>
          <w:tcPr>
            <w:tcW w:type="dxa" w:w="1247"/>
          </w:tcPr>
          <w:p>
            <w:pPr>
              <w:pStyle w:val="Celda9RXS"/>
            </w:pPr>
            <w:r/>
            <w:r>
              <w:t>36</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Sexto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Sexto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Sexto año</dc:title>
  <dc:subject>Programa de estudio de Ajedrez, Sexto año, II Ciclo de la Educación General Básica</dc:subject>
  <dc:creator>Oscar Angulo Cubero</dc:creator>
  <cp:keywords>ajedrez; programa de estudio; sexto año; 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