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Noveno año</w:t>
      </w:r>
    </w:p>
    <w:p>
      <w:pPr>
        <w:spacing w:after="80"/>
        <w:jc w:val="center"/>
      </w:pPr>
      <w:r>
        <w:rPr>
          <w:sz w:val="26"/>
        </w:rPr>
        <w:t>III Ciclo de la Educación General Básica</w:t>
      </w:r>
    </w:p>
    <w:p>
      <w:pPr>
        <w:spacing w:after="1200"/>
        <w:jc w:val="center"/>
      </w:pPr>
      <w:r>
        <w:rPr>
          <w:color w:val="555555"/>
          <w:sz w:val="22"/>
        </w:rPr>
        <w:t>Edad de referencia: 14 a 15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noveno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noveno año del III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noveno año</w:t>
      </w:r>
    </w:p>
    <w:p>
      <w:pPr>
        <w:jc w:val="both"/>
      </w:pPr>
      <w:r>
        <w:t>Noveno año cierra el III Ciclo. La persona estudiante llega con dos años de colegio en los que aprendió a evaluar una posición con los factores de Steinitz, a elaborar un plan, a atacar al rey enrocado y a jugar finales de peones y de piezas menores. También llegan estudiantes que nunca llevaron ajedrez o que solo juegan en el celular: para ellos la primera unidad abre con un diagnóstico hecho con juegos y unas lecciones de nivelación con monitores del mismo grupo.</w:t>
      </w:r>
    </w:p>
    <w:p>
      <w:pPr>
        <w:jc w:val="both"/>
      </w:pPr>
      <w:r>
        <w:t>El año tiene dos caras. En el I semestre se trabaja hacia adentro: el cálculo y la visualización con los 150 ejercicios del Manual 5 de Russek, las aperturas de peón de dama (el Gambito de Dama y el Ataque Torre, que lleva el nombre del mexicano Carlos Torre Repetto) y los finales de torre que deciden muchas partidas reales: torre activa, Lucena, Philidor y peones en los dos flancos. En el II semestre se trabaja hacia afuera: las herramientas digitales (bases de datos en formato PGN, el tablero de análisis de Lichess, los motores) usadas con criterio, el juego en línea seguro y respetuoso, el arbitraje según las Leyes del Ajedrez de la FIDE y la organización de torneos por sistema suizo y todos contra todos.</w:t>
      </w:r>
    </w:p>
    <w:p>
      <w:pPr>
        <w:jc w:val="both"/>
      </w:pPr>
      <w:r>
        <w:t>Cada semestre tiene un proyecto con nota y avances en días fijos. En el primero, cada estudiante analiza a fondo una partida propia; en el segundo, el grupo organiza un torneo institucional por sistema suizo, con desempates, árbitros escolares y bases escritas. Mientras organiza, el grupo estudia a los campeones del mundo de Tal a Kasparov con las partidas del Manual 4. Lo que se gana aquí abre la Educación Diversificada: en décimo año llegan la dinámica de la posición, el sacrificio posicional y la profilaxis.</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noveno año</w:t>
      </w:r>
    </w:p>
    <w:p>
      <w:r>
        <w:rPr>
          <w:b/>
        </w:rPr>
        <w:t>Conocimientos que se esperan al iniciar el año:</w:t>
      </w:r>
    </w:p>
    <w:p>
      <w:pPr>
        <w:pStyle w:val="ListBullet"/>
      </w:pPr>
      <w:r>
        <w:t>Reglas completas del juego, notación algebraica en español y uso de la planilla y del reloj.</w:t>
      </w:r>
    </w:p>
    <w:p>
      <w:pPr>
        <w:pStyle w:val="ListBullet"/>
      </w:pPr>
      <w:r>
        <w:t>Temas combinativos básicos: ataque doble, clavada, desviación, atracción, descubierta y destrucción de la defensa.</w:t>
      </w:r>
    </w:p>
    <w:p>
      <w:pPr>
        <w:pStyle w:val="ListBullet"/>
      </w:pPr>
      <w:r>
        <w:t>Evaluación de la posición con los factores de Steinitz y elaboración de un plan sencillo.</w:t>
      </w:r>
    </w:p>
    <w:p>
      <w:pPr>
        <w:pStyle w:val="ListBullet"/>
      </w:pPr>
      <w:r>
        <w:t>Ideas del ataque al rey enrocado (sacrificio griego, avalancha de peones) y de las defensas semiabiertas contra 1.e4.</w:t>
      </w:r>
    </w:p>
    <w:p>
      <w:pPr>
        <w:pStyle w:val="ListBullet"/>
      </w:pPr>
      <w:r>
        <w:t>Finales de peones (oposición, regla del cuadrado, triangulación) y nociones de la posición de Lucena y de la de Philidor vistas en sexto año.</w:t>
      </w:r>
    </w:p>
    <w:p>
      <w:r>
        <w:rPr>
          <w:b/>
        </w:rPr>
        <w:t>Al finalizar el año, la persona estudiante:</w:t>
      </w:r>
    </w:p>
    <w:p>
      <w:pPr>
        <w:pStyle w:val="ListBullet"/>
      </w:pPr>
      <w:r>
        <w:t>Calcula variantes cortas a partir de las jugadas forzadas (jaques, capturas y amenazas) y escribe la línea que comprobó antes de mover.</w:t>
      </w:r>
    </w:p>
    <w:p>
      <w:pPr>
        <w:pStyle w:val="ListBullet"/>
      </w:pPr>
      <w:r>
        <w:t>Visualiza posiciones sin mover las piezas y reproduce de memoria una partida corta a partir de su notación.</w:t>
      </w:r>
    </w:p>
    <w:p>
      <w:pPr>
        <w:pStyle w:val="ListBullet"/>
      </w:pPr>
      <w:r>
        <w:t>Reconoce en los ejercicios del Manual 5 las imágenes de mate y los temas combinativos que hacen posible una combinación.</w:t>
      </w:r>
    </w:p>
    <w:p>
      <w:pPr>
        <w:pStyle w:val="ListBullet"/>
      </w:pPr>
      <w:r>
        <w:t>Juega el Gambito de Dama y el Ataque Torre con blancas, y una defensa sólida contra 1.d4 con negras, explicando sus planes y no solo sus jugadas.</w:t>
      </w:r>
    </w:p>
    <w:p>
      <w:pPr>
        <w:pStyle w:val="ListBullet"/>
      </w:pPr>
      <w:r>
        <w:t>Conduce y defiende finales de torre aplicando la torre activa, la posición de Lucena y la posición de Philidor.</w:t>
      </w:r>
    </w:p>
    <w:p>
      <w:pPr>
        <w:pStyle w:val="ListBullet"/>
      </w:pPr>
      <w:r>
        <w:t>Usa una base de datos en formato PGN y el tablero de análisis para estudiar sus partidas, y contrasta su análisis con el de un motor sin delegarle el pensamiento.</w:t>
      </w:r>
    </w:p>
    <w:p>
      <w:pPr>
        <w:pStyle w:val="ListBullet"/>
      </w:pPr>
      <w:r>
        <w:t>Juega en línea con normas de seguridad, protege sus datos personales y trata con respeto a sus rivales.</w:t>
      </w:r>
    </w:p>
    <w:p>
      <w:pPr>
        <w:pStyle w:val="ListBullet"/>
      </w:pPr>
      <w:r>
        <w:t>Aplica las Leyes del Ajedrez de la FIDE como jugador y como árbitro escolar, y aparea rondas por sistema suizo y todos contra todos con sus desempates.</w:t>
      </w:r>
    </w:p>
    <w:p>
      <w:pPr>
        <w:pStyle w:val="ListBullet"/>
      </w:pPr>
      <w:r>
        <w:t>Organiza en equipo un torneo institucional y comunica sus resultados a la comunidad educativa.</w:t>
      </w:r>
    </w:p>
    <w:p>
      <w:pPr>
        <w:pStyle w:val="Heading1"/>
      </w:pPr>
      <w:r>
        <w:t>7. Orientaciones metodológicas</w:t>
      </w:r>
    </w:p>
    <w:p>
      <w:pPr>
        <w:jc w:val="both"/>
      </w:pPr>
      <w:r>
        <w:t>En el III Ciclo se combinan tres formatos: la clase de análisis (una partida o posición proyectada y discutida), el taller de ejercicios por niveles y la partida con reloj anotada. La persona adolescente necesita argumentar; por eso se pide siempre que explique por qué eligió una jugada.</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35 %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25 %</w:t>
            </w:r>
          </w:p>
        </w:tc>
      </w:tr>
      <w:tr>
        <w:tc>
          <w:tcPr>
            <w:tcW w:type="dxa" w:w="4535"/>
          </w:tcPr>
          <w:p>
            <w:pPr>
              <w:pStyle w:val="Celda9RXS"/>
            </w:pPr>
            <w:r/>
            <w:r>
              <w:t>Proyecto</w:t>
            </w:r>
          </w:p>
        </w:tc>
        <w:tc>
          <w:tcPr>
            <w:tcW w:type="dxa" w:w="2268"/>
          </w:tcPr>
          <w:p>
            <w:pPr>
              <w:pStyle w:val="Celda9RXS"/>
            </w:pPr>
            <w:r/>
            <w:r>
              <w:t>20 %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Cálculo y visualización</w:t>
            </w:r>
          </w:p>
        </w:tc>
        <w:tc>
          <w:tcPr>
            <w:tcW w:type="dxa" w:w="1134"/>
          </w:tcPr>
          <w:p>
            <w:pPr>
              <w:pStyle w:val="Celda9RXS"/>
            </w:pPr>
            <w:r/>
            <w:r>
              <w:t>I</w:t>
            </w:r>
          </w:p>
        </w:tc>
        <w:tc>
          <w:tcPr>
            <w:tcW w:type="dxa" w:w="1361"/>
          </w:tcPr>
          <w:p>
            <w:pPr>
              <w:pStyle w:val="Celda9RXS"/>
            </w:pPr>
            <w:r/>
            <w:r>
              <w:t>1 a 34</w:t>
            </w:r>
          </w:p>
        </w:tc>
        <w:tc>
          <w:tcPr>
            <w:tcW w:type="dxa" w:w="1361"/>
          </w:tcPr>
          <w:p>
            <w:pPr>
              <w:pStyle w:val="Celda9RXS"/>
            </w:pPr>
            <w:r/>
            <w:r>
              <w:t>1 a 7</w:t>
            </w:r>
          </w:p>
        </w:tc>
        <w:tc>
          <w:tcPr>
            <w:tcW w:type="dxa" w:w="1247"/>
          </w:tcPr>
          <w:p>
            <w:pPr>
              <w:pStyle w:val="Celda9RXS"/>
            </w:pPr>
            <w:r/>
            <w:r>
              <w:t>34</w:t>
            </w:r>
          </w:p>
        </w:tc>
      </w:tr>
      <w:tr>
        <w:tc>
          <w:tcPr>
            <w:tcW w:type="dxa" w:w="4535"/>
          </w:tcPr>
          <w:p>
            <w:pPr>
              <w:pStyle w:val="Celda9RXS"/>
            </w:pPr>
            <w:r/>
            <w:r>
              <w:t>2. Aperturas de peón de dama: el Gambito de Dama y el Ataque Torre</w:t>
            </w:r>
          </w:p>
        </w:tc>
        <w:tc>
          <w:tcPr>
            <w:tcW w:type="dxa" w:w="1134"/>
          </w:tcPr>
          <w:p>
            <w:pPr>
              <w:pStyle w:val="Celda9RXS"/>
            </w:pPr>
            <w:r/>
            <w:r>
              <w:t>I</w:t>
            </w:r>
          </w:p>
        </w:tc>
        <w:tc>
          <w:tcPr>
            <w:tcW w:type="dxa" w:w="1361"/>
          </w:tcPr>
          <w:p>
            <w:pPr>
              <w:pStyle w:val="Celda9RXS"/>
            </w:pPr>
            <w:r/>
            <w:r>
              <w:t>35 a 66</w:t>
            </w:r>
          </w:p>
        </w:tc>
        <w:tc>
          <w:tcPr>
            <w:tcW w:type="dxa" w:w="1361"/>
          </w:tcPr>
          <w:p>
            <w:pPr>
              <w:pStyle w:val="Celda9RXS"/>
            </w:pPr>
            <w:r/>
            <w:r>
              <w:t>7 a 14</w:t>
            </w:r>
          </w:p>
        </w:tc>
        <w:tc>
          <w:tcPr>
            <w:tcW w:type="dxa" w:w="1247"/>
          </w:tcPr>
          <w:p>
            <w:pPr>
              <w:pStyle w:val="Celda9RXS"/>
            </w:pPr>
            <w:r/>
            <w:r>
              <w:t>32</w:t>
            </w:r>
          </w:p>
        </w:tc>
      </w:tr>
      <w:tr>
        <w:tc>
          <w:tcPr>
            <w:tcW w:type="dxa" w:w="4535"/>
          </w:tcPr>
          <w:p>
            <w:pPr>
              <w:pStyle w:val="Celda9RXS"/>
            </w:pPr>
            <w:r/>
            <w:r>
              <w:t>3. Finales de torre avanzados</w:t>
            </w:r>
          </w:p>
        </w:tc>
        <w:tc>
          <w:tcPr>
            <w:tcW w:type="dxa" w:w="1134"/>
          </w:tcPr>
          <w:p>
            <w:pPr>
              <w:pStyle w:val="Celda9RXS"/>
            </w:pPr>
            <w:r/>
            <w:r>
              <w:t>I</w:t>
            </w:r>
          </w:p>
        </w:tc>
        <w:tc>
          <w:tcPr>
            <w:tcW w:type="dxa" w:w="1361"/>
          </w:tcPr>
          <w:p>
            <w:pPr>
              <w:pStyle w:val="Celda9RXS"/>
            </w:pPr>
            <w:r/>
            <w:r>
              <w:t>67 a 100</w:t>
            </w:r>
          </w:p>
        </w:tc>
        <w:tc>
          <w:tcPr>
            <w:tcW w:type="dxa" w:w="1361"/>
          </w:tcPr>
          <w:p>
            <w:pPr>
              <w:pStyle w:val="Celda9RXS"/>
            </w:pPr>
            <w:r/>
            <w:r>
              <w:t>14 a 20</w:t>
            </w:r>
          </w:p>
        </w:tc>
        <w:tc>
          <w:tcPr>
            <w:tcW w:type="dxa" w:w="1247"/>
          </w:tcPr>
          <w:p>
            <w:pPr>
              <w:pStyle w:val="Celda9RXS"/>
            </w:pPr>
            <w:r/>
            <w:r>
              <w:t>34</w:t>
            </w:r>
          </w:p>
        </w:tc>
      </w:tr>
      <w:tr>
        <w:tc>
          <w:tcPr>
            <w:tcW w:type="dxa" w:w="4535"/>
          </w:tcPr>
          <w:p>
            <w:pPr>
              <w:pStyle w:val="Celda9RXS"/>
            </w:pPr>
            <w:r/>
            <w:r>
              <w:t>4. Ajedrez y tecnología: bases de datos, motores y juego en línea seguro</w:t>
            </w:r>
          </w:p>
        </w:tc>
        <w:tc>
          <w:tcPr>
            <w:tcW w:type="dxa" w:w="1134"/>
          </w:tcPr>
          <w:p>
            <w:pPr>
              <w:pStyle w:val="Celda9RXS"/>
            </w:pPr>
            <w:r/>
            <w:r>
              <w:t>II</w:t>
            </w:r>
          </w:p>
        </w:tc>
        <w:tc>
          <w:tcPr>
            <w:tcW w:type="dxa" w:w="1361"/>
          </w:tcPr>
          <w:p>
            <w:pPr>
              <w:pStyle w:val="Celda9RXS"/>
            </w:pPr>
            <w:r/>
            <w:r>
              <w:t>101 a 134</w:t>
            </w:r>
          </w:p>
        </w:tc>
        <w:tc>
          <w:tcPr>
            <w:tcW w:type="dxa" w:w="1361"/>
          </w:tcPr>
          <w:p>
            <w:pPr>
              <w:pStyle w:val="Celda9RXS"/>
            </w:pPr>
            <w:r/>
            <w:r>
              <w:t>21 a 27</w:t>
            </w:r>
          </w:p>
        </w:tc>
        <w:tc>
          <w:tcPr>
            <w:tcW w:type="dxa" w:w="1247"/>
          </w:tcPr>
          <w:p>
            <w:pPr>
              <w:pStyle w:val="Celda9RXS"/>
            </w:pPr>
            <w:r/>
            <w:r>
              <w:t>34</w:t>
            </w:r>
          </w:p>
        </w:tc>
      </w:tr>
      <w:tr>
        <w:tc>
          <w:tcPr>
            <w:tcW w:type="dxa" w:w="4535"/>
          </w:tcPr>
          <w:p>
            <w:pPr>
              <w:pStyle w:val="Celda9RXS"/>
            </w:pPr>
            <w:r/>
            <w:r>
              <w:t>5. Arbitraje y organización de torneos</w:t>
            </w:r>
          </w:p>
        </w:tc>
        <w:tc>
          <w:tcPr>
            <w:tcW w:type="dxa" w:w="1134"/>
          </w:tcPr>
          <w:p>
            <w:pPr>
              <w:pStyle w:val="Celda9RXS"/>
            </w:pPr>
            <w:r/>
            <w:r>
              <w:t>II</w:t>
            </w:r>
          </w:p>
        </w:tc>
        <w:tc>
          <w:tcPr>
            <w:tcW w:type="dxa" w:w="1361"/>
          </w:tcPr>
          <w:p>
            <w:pPr>
              <w:pStyle w:val="Celda9RXS"/>
            </w:pPr>
            <w:r/>
            <w:r>
              <w:t>135 a 166</w:t>
            </w:r>
          </w:p>
        </w:tc>
        <w:tc>
          <w:tcPr>
            <w:tcW w:type="dxa" w:w="1361"/>
          </w:tcPr>
          <w:p>
            <w:pPr>
              <w:pStyle w:val="Celda9RXS"/>
            </w:pPr>
            <w:r/>
            <w:r>
              <w:t>27 a 34</w:t>
            </w:r>
          </w:p>
        </w:tc>
        <w:tc>
          <w:tcPr>
            <w:tcW w:type="dxa" w:w="1247"/>
          </w:tcPr>
          <w:p>
            <w:pPr>
              <w:pStyle w:val="Celda9RXS"/>
            </w:pPr>
            <w:r/>
            <w:r>
              <w:t>32</w:t>
            </w:r>
          </w:p>
        </w:tc>
      </w:tr>
      <w:tr>
        <w:tc>
          <w:tcPr>
            <w:tcW w:type="dxa" w:w="4535"/>
          </w:tcPr>
          <w:p>
            <w:pPr>
              <w:pStyle w:val="Celda9RXS"/>
            </w:pPr>
            <w:r/>
            <w:r>
              <w:t>6. Proyecto: el torneo institucional y los campeones de Tal a Kasparov</w:t>
            </w:r>
          </w:p>
        </w:tc>
        <w:tc>
          <w:tcPr>
            <w:tcW w:type="dxa" w:w="1134"/>
          </w:tcPr>
          <w:p>
            <w:pPr>
              <w:pStyle w:val="Celda9RXS"/>
            </w:pPr>
            <w:r/>
            <w:r>
              <w:t>II</w:t>
            </w:r>
          </w:p>
        </w:tc>
        <w:tc>
          <w:tcPr>
            <w:tcW w:type="dxa" w:w="1361"/>
          </w:tcPr>
          <w:p>
            <w:pPr>
              <w:pStyle w:val="Celda9RXS"/>
            </w:pPr>
            <w:r/>
            <w:r>
              <w:t>167 a 200</w:t>
            </w:r>
          </w:p>
        </w:tc>
        <w:tc>
          <w:tcPr>
            <w:tcW w:type="dxa" w:w="1361"/>
          </w:tcPr>
          <w:p>
            <w:pPr>
              <w:pStyle w:val="Celda9RXS"/>
            </w:pPr>
            <w:r/>
            <w:r>
              <w:t>34 a 40</w:t>
            </w:r>
          </w:p>
        </w:tc>
        <w:tc>
          <w:tcPr>
            <w:tcW w:type="dxa" w:w="1247"/>
          </w:tcPr>
          <w:p>
            <w:pPr>
              <w:pStyle w:val="Celda9RXS"/>
            </w:pPr>
            <w:r/>
            <w:r>
              <w:t>34</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Noveno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Noveno año</dc:title>
  <dc:subject>Programa de estudio de Ajedrez, Noveno año, III Ciclo de la Educación General Básica</dc:subject>
  <dc:creator>Oscar Angulo Cubero</dc:creator>
  <cp:keywords>ajedrez; programa de estudio; noveno año; III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