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Исследовательский проект: «Система автоматизированной декомпозиции, парсинга и анализа структурированных и неструктурированных текстовых массивов». Этап 2: смысловой анализ научных текстов</w:t>
      </w:r>
    </w:p>
    <w:p>
      <w:pPr>
        <w:jc w:val="left"/>
      </w:pPr>
      <w:r>
        <w:t>Выполнил: Лаванг Р. А., студент группы КММО-12-25</w:t>
      </w:r>
    </w:p>
    <w:p>
      <w:pPr>
        <w:ind w:firstLine="709"/>
        <w:jc w:val="both"/>
      </w:pPr>
      <w:r>
        <w:t>Настоящий отчёт продолжает отчёт о НИР (вторая итерация, парсинг книг). Первый этап восстанавливал структуру книги; второй этап посвящён смыслу текста: насколько содержание работы уже есть в других работах, повторяется ли автор, много ли в тексте «воды». Всё работает локально, без внешних сервисов. Подробная архитектура с формулами и схемами — в файле architecture_stage2.html в той же папке.</w:t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t>Цель этапа: построить сервис, который по загруженной работе — статье, курсовой, отчёту, выпускной работе — показывает по каждому абзацу, есть ли похожий по смыслу текст в корпусе других работ и какой именно, пересказывает ли автор сам себя, есть ли дословные совпадения и много ли в абзаце общих слов без конкретики; и сводки по разделам и работе целиком.</w:t>
      </w:r>
    </w:p>
    <w:p>
      <w:pPr>
        <w:ind w:firstLine="709"/>
        <w:jc w:val="both"/>
      </w:pPr>
      <w:r>
        <w:t>Ограничения, заданные на старте: только русский язык; только локальные модели (LM Studio, видеокарта 12 ГБ); определение «текст сгенерирован нейросетью» — не цель; статьи загружаются поодиночке; новизна в перспективе выражается двумя числами — покрытие эталона и «сверх эталона».</w:t>
      </w:r>
    </w:p>
    <w:p>
      <w:pPr>
        <w:ind w:firstLine="709"/>
        <w:jc w:val="both"/>
      </w:pPr>
      <w:r>
        <w:t>Задачи этапа:</w:t>
      </w:r>
    </w:p>
    <w:p>
      <w:pPr>
        <w:ind w:left="709"/>
        <w:jc w:val="both"/>
      </w:pPr>
      <w:r>
        <w:t>– разбирать одиночные статьи и студенческие работы без оглавления (PDF и DOCX) на разделы и абзацы;</w:t>
      </w:r>
    </w:p>
    <w:p>
      <w:pPr>
        <w:ind w:left="709"/>
        <w:jc w:val="both"/>
      </w:pPr>
      <w:r>
        <w:t>– собрать корпуса для сравнения и научиться выбирать из них работы той же темы;</w:t>
      </w:r>
    </w:p>
    <w:p>
      <w:pPr>
        <w:ind w:left="709"/>
        <w:jc w:val="both"/>
      </w:pPr>
      <w:r>
        <w:t>– определить метрики похожести, новизны, повторов и «воды», проверить их на искусственных вставках и разметке;</w:t>
      </w:r>
    </w:p>
    <w:p>
      <w:pPr>
        <w:ind w:left="709"/>
        <w:jc w:val="both"/>
      </w:pPr>
      <w:r>
        <w:t>– сделать понятный веб-сервис с разбором по абзацам;</w:t>
      </w:r>
    </w:p>
    <w:p>
      <w:pPr>
        <w:ind w:left="709"/>
        <w:jc w:val="both"/>
      </w:pPr>
      <w:r>
        <w:t>– сравнить доступные локальные модели и выявить открытые вопросы для обсуждения.</w:t>
      </w:r>
    </w:p>
    <w:p>
      <w:pPr>
        <w:pStyle w:val="Heading1"/>
      </w:pPr>
      <w:r>
        <w:t>Глава 1. Архитектура</w:t>
      </w:r>
    </w:p>
    <w:p>
      <w:pPr>
        <w:ind w:firstLine="709"/>
        <w:jc w:val="both"/>
      </w:pPr>
      <w:r>
        <w:t>Анализ сделан отдельным слоем поверх парсинга: книжный парсер первого этапа не менялся. Разбор документа не использует нейросетей и работает мгновенно; смысловое сравнение использует модель эмбеддингов (секунды на работу); «вода» — большую языковую модель (минуты на работу, запускается отдельно).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93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3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1 – Карта модулей и зависимостей этапа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215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215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2 – Поток обработки: от загрузки файла до отчёта по абзацам</w:t>
      </w:r>
    </w:p>
    <w:p>
      <w:pPr>
        <w:jc w:val="left"/>
      </w:pPr>
      <w:r>
        <w:t>Таблица 1 – Модули этапа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Модуль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services/article_parser.py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разбор PDF статьи по вёрстке: строки, колонки, абзацы, заголовки, зоны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services/article_docx.py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разбор DOCX по стилям заголовков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analysis/semantic.py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фрагменты 300–1500 знаков, эмбеддинги с кэшем, повторы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analysis/lexical.py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дословные совпадения (шинглы), самоцитирование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analysis/corpus.py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именованные корпуса в SQLite, тема документа, выбор соседей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analysis/article_report.py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анализ работы по абзацам и сводки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analysis/claims.py, water.py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утверждения языковой моделью, фоновая проверка «воды»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analysis/labels.py, static/label.html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ручная разметка для калибровки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article_api.py, static/article.html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веб-сервис</w:t>
            </w:r>
          </w:p>
        </w:tc>
      </w:tr>
    </w:tbl>
    <w:p/>
    <w:p>
      <w:pPr>
        <w:pStyle w:val="Heading1"/>
      </w:pPr>
      <w:r>
        <w:t>Глава 2. Разбор документов</w:t>
      </w:r>
    </w:p>
    <w:p>
      <w:pPr>
        <w:pStyle w:val="Heading2"/>
      </w:pPr>
      <w:r>
        <w:t>2.1 Статьи PDF</w:t>
      </w:r>
    </w:p>
    <w:p>
      <w:pPr>
        <w:ind w:firstLine="709"/>
        <w:jc w:val="both"/>
      </w:pPr>
      <w:r>
        <w:t>У научной статьи нет оглавления, поэтому структура восстанавливается по вёрстке: координатам строк, кеглю, жирности, курсиву, капсу (библиотека PyMuPDF). Последовательность шагов: строки → колонки → починка текста → колонтитулы → абзацы → заголовки → зоны документа (шапка, тело, литература).</w:t>
      </w:r>
    </w:p>
    <w:p>
      <w:pPr>
        <w:ind w:left="709"/>
        <w:jc w:val="both"/>
      </w:pPr>
      <w:r>
        <w:rPr>
          <w:b/>
        </w:rPr>
        <w:t xml:space="preserve">– Колонки. </w:t>
      </w:r>
      <w:r>
        <w:t>Двухколоночная страница находится по вертикальному промежутку x, который разделяет ряды текста. Ряд «разделён» в x, если x не накрыт ни одним куском текста, а слева и справа текст есть. Страница считается двухколоночной, если найдётся серия хотя бы из 8 разделённых рядов (разрывы не больше 3 рядов), занимающая не меньше 40% своего участка. Серия, а не вся страница, нужна потому, что на первой странице над колонками идут шапка и аннотация во всю ширину — такие страницы раньше перемешивали строки двух колонок (найдено при разметке).</w:t>
      </w:r>
    </w:p>
    <w:p>
      <w:pPr>
        <w:ind w:left="709"/>
        <w:jc w:val="both"/>
      </w:pPr>
      <w:r>
        <w:rPr>
          <w:b/>
        </w:rPr>
        <w:t xml:space="preserve">– Абзацы. </w:t>
      </w:r>
      <w:r>
        <w:t>Новый абзац — по увеличенному интервалу, отступу первой строки, смене кегля или стиля, слову-якорю («Аннотация», «Ключевые слова», «Литература»), строке оглавления с отточием. Переносы склеиваются, в том числе внутри строки («конфигу- рация»).</w:t>
      </w:r>
    </w:p>
    <w:p>
      <w:pPr>
        <w:ind w:left="709"/>
        <w:jc w:val="both"/>
      </w:pPr>
      <w:r>
        <w:rPr>
          <w:b/>
        </w:rPr>
        <w:t xml:space="preserve">– Зоны. </w:t>
      </w:r>
      <w:r>
        <w:t>Четыре варианта шапки: по «Ключевым словам» (современные журналы), по «Аннотации», по названию рядом со строкой авторов (старые журналы без меток) и «хвостовая» шапка, когда аннотация стоит после литературы (журнал «Доклады АМАН»). Журнальная выгрузка часто содержит хвост предыдущей и начало следующей статьи — они отрезаются.</w:t>
      </w:r>
    </w:p>
    <w:p>
      <w:pPr>
        <w:ind w:left="709"/>
        <w:jc w:val="both"/>
      </w:pPr>
      <w:r>
        <w:rPr>
          <w:b/>
        </w:rPr>
        <w:t xml:space="preserve">– Починка текста. </w:t>
      </w:r>
      <w:r>
        <w:t>Кодировка cp1251, прочитанная как latin-1 («Îïðåäåëåíèå» → «Определение»), разрядка («П р и м е р» → «Пример»). Статьи с текстом на английском и сканы без текстового слоя исключаются.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78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3 – Определение зон документа</w:t>
      </w:r>
    </w:p>
    <w:p>
      <w:pPr>
        <w:pStyle w:val="Heading2"/>
      </w:pPr>
      <w:r>
        <w:t>2.2 Курсовые и отчёты DOCX</w:t>
      </w:r>
    </w:p>
    <w:p>
      <w:pPr>
        <w:ind w:firstLine="709"/>
        <w:jc w:val="both"/>
      </w:pPr>
      <w:r>
        <w:t>В DOCX структура размечена стилями: заголовки — стили «Заголовок N», до первого заголовка — титул (название, авторы). «Содержание» и «Приложения» пропускаются, «Список источников» становится литературой, подписи к рисункам, заглушки и таблицы в текст не попадают, пункты списков присоединяются к вводной фразе.</w:t>
      </w:r>
    </w:p>
    <w:p>
      <w:pPr>
        <w:pStyle w:val="Heading2"/>
      </w:pPr>
      <w:r>
        <w:t>2.3 Результат</w:t>
      </w:r>
    </w:p>
    <w:p>
      <w:pPr>
        <w:ind w:firstLine="709"/>
        <w:jc w:val="both"/>
      </w:pPr>
      <w:r>
        <w:t>Правки разбора проверялись на всех документах корпусов сравнением «до/после». Исправление колонок уменьшило число оборванных переносов с чужим словом — признака перемешанных колонок — с 5522 до 2914; формат с аннотацией после литературы вернул в анализ 14 из 15 статей, ошибочно принятых за английские. После исправлений 322 документа разобраны заново.</w:t>
      </w:r>
    </w:p>
    <w:p>
      <w:pPr>
        <w:pStyle w:val="Heading1"/>
      </w:pPr>
      <w:r>
        <w:t>Глава 3. Корпуса</w:t>
      </w:r>
    </w:p>
    <w:p>
      <w:pPr>
        <w:ind w:firstLine="709"/>
        <w:jc w:val="both"/>
      </w:pPr>
      <w:r>
        <w:t>Корпус — именованный набор документов, с которым сравнивается работа. Корпусов несколько: статья по моделированию не должна «быть новой» относительно статей по менеджменту только потому, что тема другая. Каждый документ хранит тему — область наук (классификатор ОЭСР, как рубрики КиберЛенинки): из метки источника или предсказанную по семи ближайшим документам с известной темой.</w:t>
      </w:r>
    </w:p>
    <w:p>
      <w:pPr>
        <w:jc w:val="left"/>
      </w:pPr>
      <w:r>
        <w:t>Таблица 2 – Корпуса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Корпус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Документов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Абзацев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Фрагментов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Годы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Темы (основные)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КиберЛенинка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121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10305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3794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2016–2026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Компьютерные и информационные науки 25, Экономика и бизнес 23, Электротехника, электроника, ИТ 18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Статьи этапа 2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3801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1179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Компьютерные и информационные науки 15, Математика 14, Физика 3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ИИ, информатика, математика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274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37360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12306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2024–2026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Компьютерные и информационные науки 191, Математика 83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Студенческие работы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283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Экономика и бизнес 1, Компьютерные и информационные науки 1</w:t>
            </w:r>
          </w:p>
        </w:tc>
      </w:tr>
    </w:tbl>
    <w:p/>
    <w:p>
      <w:pPr>
        <w:ind w:firstLine="709"/>
        <w:jc w:val="both"/>
      </w:pPr>
      <w:r>
        <w:t>Документы скачиваются с КиберЛенинки двумя способами: по рубрикам (области наук) и по журналам — номера журнала и статьи номера сайт отдаёт в виде данных. Тематические журналы дают «плотные» корпуса, в которых у работы есть с чем сравнивать (раздел 6.3).</w:t>
      </w:r>
    </w:p>
    <w:p>
      <w:pPr>
        <w:pStyle w:val="Heading1"/>
      </w:pPr>
      <w:r>
        <w:t>Глава 4. Метрики</w:t>
      </w:r>
    </w:p>
    <w:p>
      <w:pPr>
        <w:ind w:firstLine="709"/>
        <w:jc w:val="both"/>
      </w:pPr>
      <w:r>
        <w:t>Обозначения: D — проверяемая работа как набор фрагментов; B — документ корпуса; N(D) — документы, с которыми сравнивается работа; a — фрагмент работы; e(x) — нормированный вектор текста x от модели эмбеддингов qwen3-embedding-0.6b. Близкие по смыслу тексты дают близкие векторы, совпадение слов не требуется.</w:t>
      </w:r>
    </w:p>
    <w:p>
      <w:pPr>
        <w:pStyle w:val="Heading2"/>
      </w:pPr>
      <w:r>
        <w:t>4.1 Фрагменты и сходство</w:t>
      </w:r>
    </w:p>
    <w:p>
      <w:pPr>
        <w:ind w:firstLine="709"/>
        <w:jc w:val="both"/>
      </w:pPr>
      <w:r>
        <w:t>Единица сравнения — фрагмент 300–1500 знаков: короткие абзацы раздела склеиваются, длинные режутся по предложениям (короткий абзац даёт шумный вектор, длинный — размытый). Фрагменты из формул исключаются:</w:t>
      </w:r>
    </w:p>
    <w:p>
      <w:pPr>
        <w:jc w:val="center"/>
      </w:pPr>
      <m:oMath xmlns:mml="http://www.w3.org/1998/Math/MathML">
        <m:r>
          <m:rPr>
            <m:nor/>
          </m:rPr>
          <m:t>доля букв</m:t>
        </m:r>
        <m:r>
          <m:t>(x)=</m:t>
        </m:r>
        <m:f>
          <m:fPr>
            <m:type m:val="bar"/>
          </m:fPr>
          <m:num>
            <m:r>
              <m:rPr>
                <m:nor/>
              </m:rPr>
              <m:t>буквы</m:t>
            </m:r>
          </m:num>
          <m:den>
            <m:r>
              <m:rPr>
                <m:nor/>
              </m:rPr>
              <m:t>непробельные символы</m:t>
            </m:r>
          </m:den>
        </m:f>
        <m:r>
          <m:rPr>
            <m:nor/>
          </m:rPr>
          <m:t>;   фрагмент формульный</m:t>
        </m:r>
        <m:r>
          <m:t>⇔</m:t>
        </m:r>
        <m:r>
          <m:rPr>
            <m:nor/>
          </m:rPr>
          <m:t>доля букв</m:t>
        </m:r>
        <m:r>
          <m:t>(x)&lt;0</m:t>
        </m:r>
        <m:r>
          <m:t>,</m:t>
        </m:r>
        <m:r>
          <m:t>70</m:t>
        </m:r>
      </m:oMath>
    </w:p>
    <w:p>
      <w:pPr>
        <w:jc w:val="center"/>
      </w:pPr>
      <m:oMath xmlns:mml="http://www.w3.org/1998/Math/MathML">
        <m:r>
          <m:t>e(x)=</m:t>
        </m:r>
        <m:f>
          <m:fPr>
            <m:type m:val="bar"/>
          </m:fPr>
          <m:num>
            <m:r>
              <m:t>v(x)</m:t>
            </m:r>
          </m:num>
          <m:den>
            <m:r>
              <m:t>‖v(x)‖</m:t>
            </m:r>
          </m:den>
        </m:f>
        <m:r>
          <m:rPr>
            <m:nor/>
          </m:rPr>
          <m:t>;   </m:t>
        </m:r>
        <m:r>
          <m:rPr>
            <m:sty m:val="p"/>
          </m:rPr>
          <m:t>cos</m:t>
        </m:r>
        <m:r>
          <m:t>(x,y)=e(x)·e(y)</m:t>
        </m:r>
      </m:oMath>
    </w:p>
    <w:p>
      <w:pPr>
        <w:pStyle w:val="Heading2"/>
      </w:pPr>
      <w:r>
        <w:t>4.2 Выбор работ для сравнения</w:t>
      </w:r>
    </w:p>
    <w:p>
      <w:pPr>
        <w:jc w:val="center"/>
      </w:pPr>
      <m:oMath xmlns:mml="http://www.w3.org/1998/Math/MathML">
        <m:r>
          <m:rPr>
            <m:sty m:val="p"/>
          </m:rPr>
          <m:t>cov</m:t>
        </m:r>
        <m:r>
          <m:t>(D→B)=</m:t>
        </m:r>
        <m:f>
          <m:fPr>
            <m:type m:val="bar"/>
          </m:fPr>
          <m:num>
            <m:r>
              <m:t>1</m:t>
            </m:r>
          </m:num>
          <m:den>
            <m:r>
              <m:t>|D|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a∈D</m:t>
            </m:r>
          </m:sub>
          <m:sup/>
          <m:e>
            <m:r>
              <m:t>(</m:t>
            </m:r>
            <m:sSub>
              <m:e>
                <m:r>
                  <m:t>max</m:t>
                </m:r>
              </m:e>
              <m:sub>
                <m:r>
                  <m:t>b∈B</m:t>
                </m:r>
              </m:sub>
            </m:sSub>
            <m:r>
              <m:rPr>
                <m:sty m:val="p"/>
              </m:rPr>
              <m:t>cos</m:t>
            </m:r>
            <m:r>
              <m:t>(a,b))</m:t>
            </m:r>
          </m:e>
        </m:nary>
      </m:oMath>
    </w:p>
    <w:p>
      <w:pPr>
        <w:ind w:firstLine="709"/>
        <w:jc w:val="both"/>
      </w:pPr>
      <w:r>
        <w:t>Покрытие — «насколько содержание работы уже есть в документе». Работы для сравнения выбираются так: документы той же темы (или без учёта темы, или весь корпус — настраивается); по желанию — только вышедшие не позже работы (по умолчанию выключено); 40 ближайших по центру тяжести векторов; из них 10 с наибольшим покрытием.</w:t>
      </w:r>
    </w:p>
    <w:p>
      <w:pPr>
        <w:pStyle w:val="Heading2"/>
      </w:pPr>
      <w:r>
        <w:t>4.3 Похожесть абзаца, опора, новизна</w:t>
      </w:r>
    </w:p>
    <w:p>
      <w:pPr>
        <w:jc w:val="center"/>
      </w:pPr>
      <m:oMath xmlns:mml="http://www.w3.org/1998/Math/MathML">
        <m:r>
          <m:rPr>
            <m:sty m:val="p"/>
          </m:rPr>
          <m:t>sim</m:t>
        </m:r>
        <m:r>
          <m:t>(a)=</m:t>
        </m:r>
        <m:sSub>
          <m:e>
            <m:r>
              <m:t>max</m:t>
            </m:r>
          </m:e>
          <m:sub>
            <m:r>
              <m:t>b∈N(D)</m:t>
            </m:r>
          </m:sub>
        </m:sSub>
        <m:r>
          <m:rPr>
            <m:sty m:val="p"/>
          </m:rPr>
          <m:t>cos</m:t>
        </m:r>
        <m:r>
          <m:t>(a,b)</m:t>
        </m:r>
        <m:r>
          <m:rPr>
            <m:nor/>
          </m:rPr>
          <m:t>;   опора</m:t>
        </m:r>
        <m:r>
          <m:t>(a)⇔</m:t>
        </m:r>
        <m:r>
          <m:rPr>
            <m:sty m:val="p"/>
          </m:rPr>
          <m:t>sim</m:t>
        </m:r>
        <m:r>
          <m:t>(a)≥0</m:t>
        </m:r>
        <m:r>
          <m:t>,</m:t>
        </m:r>
        <m:r>
          <m:t>56</m:t>
        </m:r>
        <m:r>
          <m:rPr>
            <m:nor/>
          </m:rPr>
          <m:t>;   </m:t>
        </m:r>
        <m:r>
          <m:rPr>
            <m:sty m:val="p"/>
          </m:rPr>
          <m:t>nov</m:t>
        </m:r>
        <m:r>
          <m:t>(a)=1−</m:t>
        </m:r>
        <m:r>
          <m:rPr>
            <m:sty m:val="p"/>
          </m:rPr>
          <m:t>sim</m:t>
        </m:r>
        <m:r>
          <m:t>(a)</m:t>
        </m:r>
      </m:oMath>
    </w:p>
    <w:p>
      <w:pPr>
        <w:jc w:val="left"/>
      </w:pPr>
      <w:r>
        <w:t>Таблица 3 – Категории похожести абзаца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Категория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Условие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Смысл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почти то же самое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sim ≥ 0,85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та же мысль, часто пересказ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близко по смыслу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0,75 ≤ sim &lt; 0,85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 том же, похожими словами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та же тема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0,56 ≤ sim &lt; 0,75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текст на эту тему есть, мысль другая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не с чем сравнить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sim &lt; 0,56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ближайшее не отличить от текста чужой области</w:t>
            </w:r>
          </w:p>
        </w:tc>
      </w:tr>
    </w:tbl>
    <w:p/>
    <w:p>
      <w:pPr>
        <w:ind w:firstLine="709"/>
        <w:jc w:val="both"/>
      </w:pPr>
      <w:r>
        <w:t>Порог опоры 0,56 выведен из данных: 90% фрагментов имеют с текстами чужих областей наук близость ниже 0,56 (120 статей, 7 областей). Ниже порога совпадение не отличить от случайного, поэтому такой абзац помечается «не с чем сравнить» — это не новизна. Новизна работы считается только по абзацам с опорой, а после проверки «воды» — только по содержательным абзацам:</w:t>
      </w:r>
    </w:p>
    <w:p>
      <w:pPr>
        <w:jc w:val="center"/>
      </w:pPr>
      <m:oMath xmlns:mml="http://www.w3.org/1998/Math/MathML">
        <m:r>
          <m:rPr>
            <m:nor/>
          </m:rPr>
          <m:t>новизна</m:t>
        </m:r>
        <m:r>
          <m:t>(D)=</m:t>
        </m:r>
        <m:f>
          <m:fPr>
            <m:type m:val="bar"/>
          </m:fPr>
          <m:num>
            <m:r>
              <m:t>1</m:t>
            </m:r>
          </m:num>
          <m:den>
            <m:r>
              <m:t>|A|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a∈A</m:t>
            </m:r>
          </m:sub>
          <m:sup/>
          <m:e>
            <m:r>
              <m:rPr>
                <m:sty m:val="p"/>
              </m:rPr>
              <m:t>nov</m:t>
            </m:r>
            <m:r>
              <m:t>(a)</m:t>
            </m:r>
          </m:e>
        </m:nary>
        <m:r>
          <m:rPr>
            <m:nor/>
          </m:rPr>
          <m:t>;   </m:t>
        </m:r>
        <m:r>
          <m:t>A={a:</m:t>
        </m:r>
        <m:r>
          <m:rPr>
            <m:nor/>
          </m:rPr>
          <m:t> опора</m:t>
        </m:r>
        <m:r>
          <m:t>(a),</m:t>
        </m:r>
        <m:r>
          <m:rPr>
            <m:nor/>
          </m:rPr>
          <m:t> не вода</m:t>
        </m:r>
        <m:r>
          <m:t>}</m:t>
        </m:r>
      </m:oMath>
    </w:p>
    <w:p>
      <w:pPr>
        <w:ind w:firstLine="709"/>
        <w:jc w:val="both"/>
      </w:pPr>
      <w:r>
        <w:t>Так сделано потому, что в первом варианте (новизна ко всему корпусу) новизна статьи почти полностью определялась тем, есть ли у неё соседи по теме (коэффициент ранговой корреляции −0,92), и не была связана с «водой» (0,03): водянистый абзац на редкую тему выглядел «новым».</w:t>
      </w:r>
    </w:p>
    <w:p>
      <w:pPr>
        <w:pStyle w:val="Heading2"/>
      </w:pPr>
      <w:r>
        <w:t>4.4 Повторы, дословные совпадения, самоцитирование</w:t>
      </w:r>
    </w:p>
    <w:p>
      <w:pPr>
        <w:jc w:val="center"/>
      </w:pPr>
      <m:oMath xmlns:mml="http://www.w3.org/1998/Math/MathML">
        <m:r>
          <m:rPr>
            <m:nor/>
          </m:rPr>
          <m:t>повтор</m:t>
        </m:r>
        <m: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t>)⇔</m:t>
        </m:r>
        <m:r>
          <m:rPr>
            <m:sty m:val="p"/>
          </m:rPr>
          <m:t>cos</m:t>
        </m:r>
        <m: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t>)≥0</m:t>
        </m:r>
        <m:r>
          <m:t>,</m:t>
        </m:r>
        <m:r>
          <m:t>82</m:t>
        </m:r>
        <m:r>
          <m:rPr>
            <m:nor/>
          </m:rPr>
          <m:t>;   </m:t>
        </m:r>
        <m:r>
          <m:t>|i−j|≥2</m:t>
        </m:r>
      </m:oMath>
    </w:p>
    <w:p>
      <w:pPr>
        <w:ind w:firstLine="709"/>
        <w:jc w:val="both"/>
      </w:pPr>
      <w:r>
        <w:t>Порог 0,82 — верхний 1% близостей несоседних фрагментов внутри статей; все пары выше 0,83 при чтении оказались пересказом. Дословные совпадения ищутся по цепочкам из пяти основ слов подряд (основа — первые 6 букв, чтобы падеж не мешал):</w:t>
      </w:r>
    </w:p>
    <w:p>
      <w:pPr>
        <w:jc w:val="center"/>
      </w:pPr>
      <m:oMath xmlns:mml="http://www.w3.org/1998/Math/MathML">
        <m:r>
          <m:rPr>
            <m:sty m:val="p"/>
          </m:rPr>
          <m:t>cont</m:t>
        </m:r>
        <m:r>
          <m:t>(x,y)=</m:t>
        </m:r>
        <m:f>
          <m:fPr>
            <m:type m:val="bar"/>
          </m:fPr>
          <m:num>
            <m:r>
              <m:t>|S(x)∩S(y)|</m:t>
            </m:r>
          </m:num>
          <m:den>
            <m:r>
              <m:t>|S(x)|</m:t>
            </m:r>
          </m:den>
        </m:f>
        <m:r>
          <m:rPr>
            <m:nor/>
          </m:rPr>
          <m:t>;   совпадение</m:t>
        </m:r>
        <m:r>
          <m:t>⇔</m:t>
        </m:r>
        <m:r>
          <m:rPr>
            <m:sty m:val="p"/>
          </m:rPr>
          <m:t>cont</m:t>
        </m:r>
        <m:r>
          <m:t>(x,y)≥0</m:t>
        </m:r>
        <m:r>
          <m:t>,</m:t>
        </m:r>
        <m:r>
          <m:t>3</m:t>
        </m:r>
      </m:oMath>
    </w:p>
    <w:p>
      <w:pPr>
        <w:jc w:val="center"/>
      </w:pPr>
      <m:oMath xmlns:mml="http://www.w3.org/1998/Math/MathML">
        <m:r>
          <m:rPr>
            <m:nor/>
          </m:rPr>
          <m:t>самоцит</m:t>
        </m:r>
        <m:r>
          <m:t>(D)=</m:t>
        </m:r>
        <m:f>
          <m:fPr>
            <m:type m:val="bar"/>
          </m:fPr>
          <m:num>
            <m:r>
              <m:rPr>
                <m:nor/>
              </m:rPr>
              <m:t>пункты литературы с фамилией автора</m:t>
            </m:r>
          </m:num>
          <m:den>
            <m:r>
              <m:rPr>
                <m:nor/>
              </m:rPr>
              <m:t>все пункты литературы</m:t>
            </m:r>
          </m:den>
        </m:f>
      </m:oMath>
    </w:p>
    <w:p>
      <w:pPr>
        <w:pStyle w:val="Heading1"/>
      </w:pPr>
      <w:r>
        <w:t>Глава 5. «Вода»</w:t>
      </w:r>
    </w:p>
    <w:p>
      <w:pPr>
        <w:ind w:firstLine="709"/>
        <w:jc w:val="both"/>
      </w:pPr>
      <w:r>
        <w:t>Эмбеддинги «воду» не видят: на искусственной вставке водянистый абзац был так же близок к теме статьи, как обычные (0,667 при медиане 0,691). Поэтому «вода» определяется на уровне утверждений. Языковая модель qwen3.6-35b-a3b разбивает абзац на отдельные утверждения и даёт каждому тип: результат (что получили авторы), факт (определение, метод, чужой результат), общее (слова без конкретики), связка (анонсы и план).</w:t>
      </w:r>
    </w:p>
    <w:p>
      <w:pPr>
        <w:jc w:val="center"/>
      </w:pPr>
      <m:oMath xmlns:mml="http://www.w3.org/1998/Math/MathML">
        <m:r>
          <m:rPr>
            <m:nor/>
          </m:rPr>
          <m:t>плотность</m:t>
        </m:r>
        <m:r>
          <m:t>=</m:t>
        </m:r>
        <m:f>
          <m:fPr>
            <m:type m:val="bar"/>
          </m:fPr>
          <m:num>
            <m:r>
              <m:t>1000·(</m:t>
            </m:r>
            <m:r>
              <m:rPr>
                <m:nor/>
              </m:rPr>
              <m:t>результат</m:t>
            </m:r>
            <m:r>
              <m:t>+</m:t>
            </m:r>
            <m:r>
              <m:rPr>
                <m:nor/>
              </m:rPr>
              <m:t>факт</m:t>
            </m:r>
            <m:r>
              <m:t>)</m:t>
            </m:r>
          </m:num>
          <m:den>
            <m:r>
              <m:rPr>
                <m:nor/>
              </m:rPr>
              <m:t>знаков</m:t>
            </m:r>
          </m:den>
        </m:f>
        <m:r>
          <m:rPr>
            <m:nor/>
          </m:rPr>
          <m:t>;   доля общих</m:t>
        </m:r>
        <m:r>
          <m:t>=</m:t>
        </m:r>
        <m:f>
          <m:fPr>
            <m:type m:val="bar"/>
          </m:fPr>
          <m:num>
            <m:r>
              <m:rPr>
                <m:nor/>
              </m:rPr>
              <m:t>общее</m:t>
            </m:r>
            <m:r>
              <m:t>+</m:t>
            </m:r>
            <m:r>
              <m:rPr>
                <m:nor/>
              </m:rPr>
              <m:t>связка</m:t>
            </m:r>
          </m:num>
          <m:den>
            <m:r>
              <m:rPr>
                <m:nor/>
              </m:rPr>
              <m:t>утверждений</m:t>
            </m:r>
          </m:den>
        </m:f>
      </m:oMath>
    </w:p>
    <w:p>
      <w:pPr>
        <w:jc w:val="center"/>
      </w:pPr>
      <m:oMath xmlns:mml="http://www.w3.org/1998/Math/MathML">
        <m:r>
          <m:rPr>
            <m:nor/>
          </m:rPr>
          <m:t>абзац водянистый</m:t>
        </m:r>
        <m:r>
          <m:t>⇔</m:t>
        </m:r>
        <m:r>
          <m:rPr>
            <m:nor/>
          </m:rPr>
          <m:t>доля общих</m:t>
        </m:r>
        <m:r>
          <m:t>≥0</m:t>
        </m:r>
        <m:r>
          <m:t>,</m:t>
        </m:r>
        <m:r>
          <m:t>5</m:t>
        </m:r>
      </m:oMath>
    </w:p>
    <w:p>
      <w:pPr>
        <w:ind w:firstLine="709"/>
        <w:jc w:val="both"/>
      </w:pPr>
      <w:r>
        <w:t>Не проверяются: абзацы короче 200 знаков, формулы, подписи к рисункам, шаги алгоритмов, расшифровки обозначений формул, таблицы. Это правило выведено из разметки: все абзацы, по которым разметчик ответил «не могу сказать», оказались такими кусками.</w:t>
      </w:r>
    </w:p>
    <w:p>
      <w:pPr>
        <w:ind w:firstLine="709"/>
        <w:jc w:val="both"/>
      </w:pPr>
      <w:r>
        <w:t>Проверка медленная (5–9 секунд на абзац), поэтому запускается кнопкой и идёт в фоне: сервис выгружает модель эмбеддингов, загружает языковую модель, после проверки возвращает всё обратно, запрещает компьютеру засыпать на время работы. Результаты запоминаются по тексту абзаца: повторно абзац не проверяется. Статья проверяется за 2–5 минут, выпускная работа — около получаса.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730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wa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3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4 – Состояния фоновой проверки «воды»</w:t>
      </w:r>
    </w:p>
    <w:p>
      <w:pPr>
        <w:ind w:firstLine="709"/>
        <w:jc w:val="both"/>
      </w:pPr>
      <w:r>
        <w:t>По проверенным абзацам корпусов водянистых немного: КиберЛенинка — 165 из 1750 (9%), статьи этапа 2 — 50 из 976 (5%). Целиком водянистых статей почти нет; вода встречается отдельными абзацами, чаще во введениях и заключениях.</w:t>
      </w:r>
    </w:p>
    <w:p>
      <w:pPr>
        <w:pStyle w:val="Heading1"/>
      </w:pPr>
      <w:r>
        <w:t>Глава 6. Сервис и примеры работы</w:t>
      </w:r>
    </w:p>
    <w:p>
      <w:pPr>
        <w:ind w:firstLine="709"/>
        <w:jc w:val="both"/>
      </w:pPr>
      <w:r>
        <w:t>Страница сервиса построена по шагам: «1. С чем сравнивать» (корпус, какие статьи брать, тема, время) и «2. Что проверяем» (файл PDF или DOCX). Итог — пять карточек с подписями «что это значит», структура работы с полосами по разделам, текст с подсветкой по выбранной метрике и карточка абзаца с выводом простыми словами и самым похожим местом корпуса. Справка «Как читать результаты» объясняет каждую метрику.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5 – Стартовая страница: выбор корпуса и загрузка работы</w:t>
      </w:r>
    </w:p>
    <w:p>
      <w:pPr>
        <w:pStyle w:val="Heading2"/>
      </w:pPr>
      <w:r>
        <w:t>6.1 Похожесть на корпус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milar_corp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6 – Статья о зеркальном спуске относительно корпуса со статьями той же научной школы: 47% текста «близко по смыслу»; справа — самое похожее место корпуса и пересказываемые абзацы</w:t>
      </w:r>
    </w:p>
    <w:p>
      <w:pPr>
        <w:pStyle w:val="Heading2"/>
      </w:pPr>
      <w:r>
        <w:t>6.2 «Не с чем сравнить»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_sup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7 – Отчёт о НИР относительно разношёрстного корпуса: 96% текста «не с чем сравнить»</w:t>
      </w:r>
    </w:p>
    <w:p>
      <w:pPr>
        <w:pStyle w:val="Heading2"/>
      </w:pPr>
      <w:r>
        <w:t>6.3 Плотный корпус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nse_corp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8 – Тот же отчёт относительно корпуса «ИИ, информатика, математика»: «не с чем сравнить» снижается до 33%</w:t>
      </w:r>
    </w:p>
    <w:p>
      <w:pPr>
        <w:ind w:firstLine="709"/>
        <w:jc w:val="both"/>
      </w:pPr>
      <w:r>
        <w:t>Пример показывает главное условие осмысленной новизны: корпус должен быть по той же узкой теме. Против разношёрстного корпуса у отчёта 96% текста без опоры, против тематического — около трети; у статей тематического корпуса внутри него — 33%.</w:t>
      </w:r>
    </w:p>
    <w:p>
      <w:pPr>
        <w:pStyle w:val="Heading2"/>
      </w:pPr>
      <w:r>
        <w:t>6.4 Повторы и «вода»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ea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9 – Повторы внутри выпускной работы: введение и заключение пересказывают друг друга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a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10 – Режим «Вода»: 24% текста статьи — водянистые абзацы; в карточке — утверждения абзаца с типами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el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11 – Справка «Как читать результаты»</w:t>
      </w:r>
    </w:p>
    <w:p>
      <w:pPr>
        <w:pStyle w:val="Heading1"/>
      </w:pPr>
      <w:r>
        <w:t>Глава 7. Проверка качества</w:t>
      </w:r>
    </w:p>
    <w:p>
      <w:pPr>
        <w:pStyle w:val="Heading2"/>
      </w:pPr>
      <w:r>
        <w:t>7.1 Искусственные вставки</w:t>
      </w:r>
    </w:p>
    <w:p>
      <w:pPr>
        <w:jc w:val="left"/>
      </w:pPr>
      <w:r>
        <w:t>Таблица 4 – Проверка на искусственных вставках в статью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Вставка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Эмбеддинги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Утверждения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дубль абзаца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найден (близость 0,93)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пересказ абзаца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найден (0,85 при дословном совпадении 0,06)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абзац из чужой статьи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найден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«вода» на тему статьи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не найдена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найдена: плотность 1,40, ниже 98% абзацев статьи</w:t>
            </w:r>
          </w:p>
        </w:tc>
      </w:tr>
    </w:tbl>
    <w:p/>
    <w:p>
      <w:pPr>
        <w:pStyle w:val="Heading2"/>
      </w:pPr>
      <w:r>
        <w:t>7.2 Тема и порог опоры</w:t>
      </w:r>
    </w:p>
    <w:p>
      <w:pPr>
        <w:ind w:firstLine="709"/>
        <w:jc w:val="both"/>
      </w:pPr>
      <w:r>
        <w:t>Тема угадывается в 89 из 119 случаев (75%); ошибки — междисциплинарные статьи (например, «цифровая логистика» из экономики отнесена к информатике). Поэтому на странице показываются голоса за каждую область, и тему можно указать вручную.</w:t>
      </w:r>
    </w:p>
    <w:p>
      <w:pPr>
        <w:pStyle w:val="Heading2"/>
      </w:pPr>
      <w:r>
        <w:t>7.3 Разметка</w:t>
      </w:r>
    </w:p>
    <w:p>
      <w:pPr>
        <w:ind w:firstLine="709"/>
        <w:jc w:val="both"/>
      </w:pPr>
      <w:r>
        <w:t>Для проверки человеком сделана страница разметки: набор пар фрагментов («это одна мысль?») и набор абзацев («много ли воды?»). Наборы фиксированы, ответ модели разметчику не показывается. Абзацы разметил автор; разметку пар решено отложить — во фрагментах часто нет явного утверждения, и сравнивать их тяжело и долго.</w:t>
      </w:r>
    </w:p>
    <w:p>
      <w:pPr>
        <w:jc w:val="left"/>
      </w:pPr>
      <w:r>
        <w:t>Таблица 5 – Разметка «воды» (40 абзацев): ответы человека и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Ответ человека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Абзацев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Доля общих слов у модели (медиана)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Модель: «вода»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вода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0,35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 (второй абзац — ошибка разбора колонок)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смешано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0,14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 делу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0,00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не могу сказать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0,00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 — все не проза (формулы, таблицы)</w:t>
            </w:r>
          </w:p>
        </w:tc>
      </w:tr>
    </w:tbl>
    <w:p/>
    <w:p>
      <w:pPr>
        <w:ind w:firstLine="709"/>
        <w:jc w:val="both"/>
      </w:pPr>
      <w:r>
        <w:t>Направление согласовано: чем больше общих слов по оценке модели, тем ближе ответ человека к «вода». У человека три уровня, у модели два; порог решено оставить прежним. Разметка выявила две проблемы, которые исправлены: перемешанные колонки на первых страницах и проверку таблиц и формул на «воду».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584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abel_pai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Рисунок 12 – Страница разметки: пара фрагментов</w:t>
      </w:r>
    </w:p>
    <w:p>
      <w:pPr>
        <w:pStyle w:val="Heading2"/>
      </w:pPr>
      <w:r>
        <w:t>7.4 Сравнение моделей</w:t>
      </w:r>
    </w:p>
    <w:p>
      <w:pPr>
        <w:jc w:val="left"/>
      </w:pPr>
      <w:r>
        <w:t>Таблица 6 – Модели эмбеддингов на данных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Тема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Различение своей/чужой области (AUC)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Пересказ (место)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Время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qwen3-embedding-0.6b (используется)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78%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0,659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27 с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nomic-embed-text-v1.5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61%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0,461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12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13 с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qwen3-embedding-4b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77%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0,660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68 с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bge-m3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76%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0,633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18 с</w:t>
            </w:r>
          </w:p>
        </w:tc>
      </w:tr>
    </w:tbl>
    <w:p/>
    <w:p>
      <w:pPr>
        <w:ind w:firstLine="709"/>
        <w:jc w:val="both"/>
      </w:pPr>
      <w:r>
        <w:t>Крупные модели эмбеддингов не дали выигрыша: потолок задают постановка задачи (тема — не то же, что мысль) и корпус, а не размер модели. Используется самая быстрая из равных по качеству.</w:t>
      </w:r>
    </w:p>
    <w:p>
      <w:pPr>
        <w:jc w:val="left"/>
      </w:pPr>
      <w:r>
        <w:t>Таблица 7 – Языковые модели для утверждений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qwen3.6-35b-a3b (используется)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qwen3.8-27b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Устройство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смесь экспертов, 3 млрд активных параметров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плотная, 27 млрд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Видеопамять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8,0 ГБ (65%)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10,6 ГБ (87%)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Скорость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36.5 токенов/с, 5.9 с на абзац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11.5 токенов/с, 17.4 с на абзац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«Вода» на вставке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плотность 1,40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плотность 1,40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Пересказ абзаца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дробит (9 утверждений вместо 5)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согласованно (5)</w:t>
            </w:r>
          </w:p>
        </w:tc>
      </w:tr>
    </w:tbl>
    <w:p/>
    <w:p>
      <w:pPr>
        <w:pStyle w:val="Heading1"/>
      </w:pPr>
      <w:r>
        <w:t>Глава 8. Ограничения</w:t>
      </w:r>
    </w:p>
    <w:p>
      <w:pPr>
        <w:ind w:left="709"/>
        <w:jc w:val="both"/>
      </w:pPr>
      <w:r>
        <w:t>– Новизна относительна корпусу: на разношёрстном корпусе 60–96% текста «не с чем сравнить»; научную новизну в абсолютном смысле метод не измеряет.</w:t>
      </w:r>
    </w:p>
    <w:p>
      <w:pPr>
        <w:ind w:left="709"/>
        <w:jc w:val="both"/>
      </w:pPr>
      <w:r>
        <w:t>– Смысловая близость не отличает «ту же мысль» от «той же узкой темы»; границы 0,75 и 0,85 человеком не проверены. Поэтому сервис показывает похожее место целиком — вывод делает человек.</w:t>
      </w:r>
    </w:p>
    <w:p>
      <w:pPr>
        <w:ind w:left="709"/>
        <w:jc w:val="both"/>
      </w:pPr>
      <w:r>
        <w:t>– Остаются случаи перемешанных колонок и текст изнутри схем в абзацах (около 2900 признаков на все корпуса).</w:t>
      </w:r>
    </w:p>
    <w:p>
      <w:pPr>
        <w:ind w:left="709"/>
        <w:jc w:val="both"/>
      </w:pPr>
      <w:r>
        <w:t>– Граница «результат/факт» у языковой модели размыта (на вывод «вода / не вода» не влияет).</w:t>
      </w:r>
    </w:p>
    <w:p>
      <w:pPr>
        <w:ind w:left="709"/>
        <w:jc w:val="both"/>
      </w:pPr>
      <w:r>
        <w:t>– Сканы без текстового слоя не разбираются; только русский язык; формулы и таблицы не анализируются.</w:t>
      </w:r>
    </w:p>
    <w:p>
      <w:pPr>
        <w:ind w:left="709"/>
        <w:jc w:val="both"/>
      </w:pPr>
      <w:r>
        <w:t>– Корпус по ИИ содержит статьи только 2024–2026 годов: сравнение «только с более ранними работами» для старых работ почти пусто.</w:t>
      </w:r>
    </w:p>
    <w:p>
      <w:pPr>
        <w:pStyle w:val="Heading1"/>
      </w:pPr>
      <w:r>
        <w:t>Глава 9. Открытые вопросы для обсуждения</w:t>
      </w:r>
    </w:p>
    <w:p>
      <w:pPr>
        <w:pStyle w:val="Heading2"/>
      </w:pPr>
      <w:r>
        <w:t>9.1 Эталон</w:t>
      </w:r>
    </w:p>
    <w:p>
      <w:pPr>
        <w:ind w:firstLine="709"/>
        <w:jc w:val="both"/>
      </w:pPr>
      <w:r>
        <w:t>Исходная формула — два числа: покрытие эталона и «сверх эталона». Но эталон для экономической курсовой один, для математической — совсем другой, для каждого раздела нужен свой, и готовить их вручную нереально. Нужен другой подход. Варианты:</w:t>
      </w:r>
    </w:p>
    <w:p>
      <w:pPr>
        <w:ind w:left="709"/>
        <w:jc w:val="both"/>
      </w:pPr>
      <w:r>
        <w:rPr>
          <w:b/>
        </w:rPr>
        <w:t xml:space="preserve">– Эталон из корпуса. </w:t>
      </w:r>
      <w:r>
        <w:t>Типичное содержание темы — мысли, которые повторяются во многих работах той же темы. Покрытие — какая доля типичного затронута работой, «сверх» — содержательные абзацы далеко от типичного. Нужно хотя бы 10–20 работ на тему.</w:t>
      </w:r>
    </w:p>
    <w:p>
      <w:pPr>
        <w:ind w:left="709"/>
        <w:jc w:val="both"/>
      </w:pPr>
      <w:r>
        <w:rPr>
          <w:b/>
        </w:rPr>
        <w:t xml:space="preserve">– Ожидаемое содержание раздела по названию. </w:t>
      </w:r>
      <w:r>
        <w:t>Языковая модель описывает, что обычно должно быть в разделе с таким названием, и с этим сравнивается текст. Ручные эталоны не нужны, но нужна сильная модель.</w:t>
      </w:r>
    </w:p>
    <w:p>
      <w:pPr>
        <w:ind w:left="709"/>
        <w:jc w:val="both"/>
      </w:pPr>
      <w:r>
        <w:rPr>
          <w:b/>
        </w:rPr>
        <w:t xml:space="preserve">– Методичка как требования к структуре. </w:t>
      </w:r>
      <w:r>
        <w:t>Проверять наличие обязательных разделов, а не содержание.</w:t>
      </w:r>
    </w:p>
    <w:p>
      <w:pPr>
        <w:pStyle w:val="Heading2"/>
      </w:pPr>
      <w:r>
        <w:t>9.2 Объём базы</w:t>
      </w:r>
    </w:p>
    <w:p>
      <w:pPr>
        <w:ind w:firstLine="709"/>
        <w:jc w:val="both"/>
      </w:pPr>
      <w:r>
        <w:t>Новизна и поиск самоповторов требуют, чтобы нужные работы были в корпусе, а бесконечную базу не собрать. Нужно решение, минимально зависящее от объёма имеющихся данных. Варианты: сравнивать только с тем, что есть; при анализе подкачивать прошлые работы автора; «корпус по запросу» — под каждую работу подкачивать 10–30 близких работ по ключевым словам и автору. Открыт вопрос источника: поиск КиберЛенинки без входа на сайт не работал, открытые каталоги (OpenAlex, Crossref) содержат мало полных русских текстов.</w:t>
      </w:r>
    </w:p>
    <w:p>
      <w:pPr>
        <w:pStyle w:val="Heading2"/>
      </w:pPr>
      <w:r>
        <w:t>9.3 Всё ли через нейросеть</w:t>
      </w:r>
    </w:p>
    <w:p>
      <w:pPr>
        <w:ind w:firstLine="709"/>
        <w:jc w:val="both"/>
      </w:pPr>
      <w:r>
        <w:t>Уровень утверждений точнее эмбеддингов (видит «воду», лучше различает «ту же мысль»), но медленный: часы на корпус. Где граница — языковая модель только для проверяемой работы, для корпуса один раз с кэшем или нигде? Отдельный вопрос — новизна по утверждениям («какие мысли работы новые»): вынесен на обсуждение, решений не принимается.</w:t>
      </w:r>
    </w:p>
    <w:p>
      <w:pPr>
        <w:pStyle w:val="Heading2"/>
      </w:pPr>
      <w:r>
        <w:t>9.4 Прочее</w:t>
      </w:r>
    </w:p>
    <w:p>
      <w:pPr>
        <w:ind w:left="709"/>
        <w:jc w:val="both"/>
      </w:pPr>
      <w:r>
        <w:rPr>
          <w:b/>
        </w:rPr>
        <w:t xml:space="preserve">– Новизна не по теме. </w:t>
      </w:r>
      <w:r>
        <w:t>Считать ли новизной текст не по теме работы — вопрос к руководителю.</w:t>
      </w:r>
    </w:p>
    <w:p>
      <w:pPr>
        <w:ind w:left="709"/>
        <w:jc w:val="both"/>
      </w:pPr>
      <w:r>
        <w:rPr>
          <w:b/>
        </w:rPr>
        <w:t xml:space="preserve">– Калибровка «той же мысли». </w:t>
      </w:r>
      <w:r>
        <w:t>Ручная разметка пар отложена; альтернатива — искусственные пары (пересказ абзацев моделью) или сравнение утверждений на малой выборке.</w:t>
      </w:r>
    </w:p>
    <w:p>
      <w:pPr>
        <w:ind w:left="709"/>
        <w:jc w:val="both"/>
      </w:pPr>
      <w:r>
        <w:rPr>
          <w:b/>
        </w:rPr>
        <w:t xml:space="preserve">– Повтор одной мысли. </w:t>
      </w:r>
      <w:r>
        <w:t>Сейчас повторы ищутся сравнением абзацев целиком; не видны повтор внутри абзаца и одна конкретная мысль в разных абзацах. Решение — сравнивать утверждения работы между собой.</w:t>
      </w:r>
    </w:p>
    <w:p>
      <w:pPr>
        <w:ind w:left="709"/>
        <w:jc w:val="both"/>
      </w:pPr>
      <w:r>
        <w:rPr>
          <w:b/>
        </w:rPr>
        <w:t xml:space="preserve">– Сравнение по времени. </w:t>
      </w:r>
      <w:r>
        <w:t>Сделано настраиваемым (по умолчанию выключено); для пользы нужна история прошлых лет в корпусах.</w:t>
      </w:r>
    </w:p>
    <w:p>
      <w:pPr>
        <w:pStyle w:val="Heading1"/>
      </w:pPr>
      <w:r>
        <w:t>Заключение</w:t>
      </w:r>
    </w:p>
    <w:p>
      <w:pPr>
        <w:ind w:firstLine="709"/>
        <w:jc w:val="both"/>
      </w:pPr>
      <w:r>
        <w:t>На этапе построен локальный сервис смыслового анализа научных текстов: разбор статей PDF и студенческих работ DOCX без оглавления, именованные тематические корпуса (более 400 документов), метрики похожести на корпус, новизны с учётом опоры, повторов, дословных совпадений, самоцитирования и «воды», веб-страница с разбором по абзацам, фоновая проверка «воды» языковой моделью и страница разметки.</w:t>
      </w:r>
    </w:p>
    <w:p>
      <w:pPr>
        <w:ind w:firstLine="709"/>
        <w:jc w:val="both"/>
      </w:pPr>
      <w:r>
        <w:t>Главные выводы: похожесть по смыслу надёжно находит пересказ и заимствование, если источник есть в корпусе; «вода» видна только на уровне утверждений; новизна осмысленна лишь относительно корпуса той же узкой темы — на тематическом корпусе доля «не с чем сравнить» падает с 96% до трети; крупные модели эмбеддингов выигрыша не дают.</w:t>
      </w:r>
    </w:p>
    <w:p>
      <w:pPr>
        <w:ind w:firstLine="709"/>
        <w:jc w:val="both"/>
      </w:pPr>
      <w:r>
        <w:t>Открытыми остаются вопросы эталона, необходимого объёма базы и границы применения языковой модели — они вынесены на обсуждение в главе 9.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