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государственный университет информатики и радиоэлектроники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Стоимость платного обучения для иностранных граждан за учебный год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 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2"/>
        <w:spacing w:beforeAutospacing="0" w:before="0" w:afterAutospacing="0" w:after="0"/>
        <w:ind w:left="-567"/>
        <w:jc w:val="center"/>
        <w:rPr>
          <w:color w:val="000000"/>
        </w:rPr>
      </w:pPr>
      <w:r>
        <w:rPr>
          <w:color w:val="000000"/>
        </w:rPr>
        <w:t>Подготовительное отделение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175"/>
        <w:gridCol w:w="5734"/>
        <w:gridCol w:w="2154"/>
        <w:gridCol w:w="2151"/>
      </w:tblGrid>
      <w:tr>
        <w:trPr>
          <w:trHeight w:val="540" w:hRule="atLeast"/>
        </w:trPr>
        <w:tc>
          <w:tcPr>
            <w:tcW w:w="317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>
                <w:rStyle w:val="Strong"/>
              </w:rPr>
              <w:t>Подготовительное отделение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Изучаются дисциплины: русский язык, физика, математика, информатика</w:t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00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261 036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00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855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1 700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75" w:hRule="atLeast"/>
        </w:trPr>
        <w:tc>
          <w:tcPr>
            <w:tcW w:w="317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147 920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jc w:val="center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ОБЩЕЕ ВЫСШЕЕ ОБРАЗОВАНИЕ (дневная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5 000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435 060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факультет информационных технологий и управления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–</w:t>
            </w:r>
            <w:r>
              <w:rPr/>
              <w:t>факультет компьютерных систем и сетей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2 800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243 634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факультет компьютерного проектирования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–</w:t>
            </w:r>
            <w:r>
              <w:rPr/>
              <w:t>факультет радиотехники и электроники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–</w:t>
            </w:r>
            <w:r>
              <w:rPr/>
              <w:t>факультет информационной безопасности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инженерно-экономический факультет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2 700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234 933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ОБЩЕЕ ВЫСШЕЕ ОБРАЗОВАНИЕ (заочная и дистанционная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2 500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217 530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1 800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1 600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139 219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УГЛУБЛЕННОЕ ВЫСШЕЕ ОБРАЗОВАНИЕ (дневная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4 300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374 152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243 634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66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Азербайджана, Армении, Казахстана, Кыргызстана, Молдовы, РФ, Таджикистана, Туркменистана, Узбекистана, Украины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2 800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</w:tbl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УГЛУБЛЕННОЕ ВЫСШЕЕ ОБРАЗОВАНИЕ (заочная и дистанционная форма получения образования)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07"/>
        <w:gridCol w:w="5902"/>
        <w:gridCol w:w="2154"/>
        <w:gridCol w:w="2151"/>
      </w:tblGrid>
      <w:tr>
        <w:trPr>
          <w:trHeight w:val="510" w:hRule="atLeast"/>
        </w:trPr>
        <w:tc>
          <w:tcPr>
            <w:tcW w:w="300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Все факультеты</w:t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3 300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1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английском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287 140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2 000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007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языке для граждан РФ</w:t>
            </w:r>
          </w:p>
        </w:tc>
        <w:tc>
          <w:tcPr>
            <w:tcW w:w="21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174 024</w:t>
            </w:r>
          </w:p>
        </w:tc>
        <w:tc>
          <w:tcPr>
            <w:tcW w:w="21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Российских рублей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НАУЧНО-ОРИЕНТИРОВАННОЕ ОБРАЗОВАНИЕ (АСПИРАНТУРА)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016"/>
        <w:gridCol w:w="5881"/>
        <w:gridCol w:w="2161"/>
        <w:gridCol w:w="2156"/>
      </w:tblGrid>
      <w:tr>
        <w:trPr>
          <w:trHeight w:val="570" w:hRule="atLeast"/>
        </w:trPr>
        <w:tc>
          <w:tcPr>
            <w:tcW w:w="30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Форма соискательства</w:t>
            </w:r>
          </w:p>
        </w:tc>
        <w:tc>
          <w:tcPr>
            <w:tcW w:w="58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для сдачи кандидатских экзаменов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2 000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0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в аспирантуре</w:t>
            </w:r>
          </w:p>
        </w:tc>
        <w:tc>
          <w:tcPr>
            <w:tcW w:w="58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Проведение научных исследований по теме кандидатской диссертации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5 000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Heading3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ПЕРЕПОДГОТОВКА СПЕЦИАЛИСТОВ В ОБЛАСТИ ИНФОРМАЦИОННЫХ ТЕХНОЛОГИЙ</w:t>
      </w:r>
    </w:p>
    <w:tbl>
      <w:tblPr>
        <w:tblW w:w="1321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3184"/>
        <w:gridCol w:w="5713"/>
        <w:gridCol w:w="2161"/>
        <w:gridCol w:w="2156"/>
      </w:tblGrid>
      <w:tr>
        <w:trPr>
          <w:trHeight w:val="570" w:hRule="atLeast"/>
        </w:trPr>
        <w:tc>
          <w:tcPr>
            <w:tcW w:w="3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Программное обеспечение информационных систем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Web-дизайн и компьютерная графика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 xml:space="preserve">– </w:t>
            </w:r>
            <w:r>
              <w:rPr/>
              <w:t>Электронный бизнес </w:t>
            </w:r>
          </w:p>
        </w:tc>
        <w:tc>
          <w:tcPr>
            <w:tcW w:w="5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и английском языках</w:t>
            </w:r>
          </w:p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(на уровне высшего образования)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1 240–1 887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долларов США</w:t>
            </w:r>
          </w:p>
        </w:tc>
      </w:tr>
      <w:tr>
        <w:trPr>
          <w:trHeight w:val="570" w:hRule="atLeast"/>
        </w:trPr>
        <w:tc>
          <w:tcPr>
            <w:tcW w:w="31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Стажировки специалистов в области информационных технологий, инфокоммуникаций и защиты информации</w:t>
            </w:r>
          </w:p>
        </w:tc>
        <w:tc>
          <w:tcPr>
            <w:tcW w:w="57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Обучение на русском и английском языках</w:t>
            </w:r>
          </w:p>
        </w:tc>
        <w:tc>
          <w:tcPr>
            <w:tcW w:w="21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в соответствии с условиями договора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rPr/>
            </w:pPr>
            <w:r>
              <w:rPr/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rStyle w:val="Strong"/>
          <w:color w:val="000000"/>
        </w:rPr>
        <w:t>В стоимость обучения не включены: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проживание в общежитии университета (ориентировочная стоимость – 60 долларов США в месяц);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медицинское обследование  (ориентировочная стоимость – 100 долларов США);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договор обязательного медицинского страхования – 170 евро на 1 год;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регистрация паспорта в органах по гражданству и миграции (ориентировочная стоимость – 50 долларов США);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– </w:t>
      </w:r>
      <w:r>
        <w:rPr>
          <w:color w:val="000000"/>
        </w:rPr>
        <w:t>ориентировочная минимальная стоимость пребывания – 300 долларов США</w:t>
        <w:br/>
        <w:t>в месяц.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LibreOffice/24.2.7.2$Linux_X86_64 LibreOffice_project/420$Build-2</Application>
  <AppVersion>15.0000</AppVersion>
  <Pages>4</Pages>
  <Words>532</Words>
  <Characters>3550</Characters>
  <CharactersWithSpaces>3983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