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7E" w:rsidRPr="00D72735" w:rsidRDefault="00286E7E" w:rsidP="00286E7E">
      <w:pPr>
        <w:pStyle w:val="En-tte"/>
        <w:shd w:val="clear" w:color="auto" w:fill="D9D9D9" w:themeFill="background1" w:themeFillShade="D9"/>
        <w:jc w:val="center"/>
        <w:rPr>
          <w:sz w:val="40"/>
          <w:szCs w:val="40"/>
        </w:rPr>
      </w:pPr>
      <w:r w:rsidRPr="00D72735">
        <w:rPr>
          <w:sz w:val="40"/>
          <w:szCs w:val="40"/>
        </w:rPr>
        <w:t>CONTR</w:t>
      </w:r>
      <w:bookmarkStart w:id="0" w:name="_GoBack"/>
      <w:bookmarkEnd w:id="0"/>
      <w:r w:rsidRPr="00D72735">
        <w:rPr>
          <w:sz w:val="40"/>
          <w:szCs w:val="40"/>
        </w:rPr>
        <w:t>AT DE PARTENARIAT</w:t>
      </w:r>
    </w:p>
    <w:p w:rsidR="00286E7E" w:rsidRPr="00242293" w:rsidRDefault="00286E7E" w:rsidP="00286E7E">
      <w:pPr>
        <w:pStyle w:val="En-tte"/>
        <w:rPr>
          <w:sz w:val="12"/>
          <w:szCs w:val="28"/>
        </w:rPr>
      </w:pPr>
    </w:p>
    <w:p w:rsidR="00286E7E" w:rsidRPr="00242293" w:rsidRDefault="00286E7E" w:rsidP="00286E7E">
      <w:pPr>
        <w:pStyle w:val="En-tte"/>
        <w:rPr>
          <w:sz w:val="20"/>
          <w:szCs w:val="20"/>
        </w:rPr>
      </w:pPr>
      <w:r w:rsidRPr="00242293">
        <w:rPr>
          <w:sz w:val="20"/>
          <w:szCs w:val="20"/>
        </w:rPr>
        <w:t>Entre</w:t>
      </w:r>
    </w:p>
    <w:p w:rsidR="00286E7E" w:rsidRPr="00180D1D" w:rsidRDefault="00286E7E" w:rsidP="00286E7E">
      <w:pPr>
        <w:pStyle w:val="En-tte"/>
        <w:rPr>
          <w:sz w:val="4"/>
          <w:szCs w:val="16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Demi" w:hAnsi="Bookman-Demi" w:cs="Bookman-Demi"/>
        </w:rPr>
        <w:t>« Le CCGIM »  (Cabinet Conseil et de Gestion Immobilière); représenté par Monsieur BAGAYOGO Amadou,</w:t>
      </w:r>
      <w:r w:rsidRPr="00242293">
        <w:rPr>
          <w:rFonts w:ascii="Bookman-Light" w:hAnsi="Bookman-Light" w:cs="Bookman-Light"/>
        </w:rPr>
        <w:t xml:space="preserve"> gérant dont le siège social est situé à YOPOUGON ATTIE 9</w:t>
      </w:r>
      <w:r w:rsidRPr="00242293">
        <w:rPr>
          <w:rFonts w:ascii="Bookman-Light" w:hAnsi="Bookman-Light" w:cs="Bookman-Light"/>
          <w:vertAlign w:val="superscript"/>
        </w:rPr>
        <w:t>ième</w:t>
      </w:r>
      <w:r w:rsidRPr="00242293">
        <w:rPr>
          <w:rFonts w:ascii="Bookman-Light" w:hAnsi="Bookman-Light" w:cs="Bookman-Light"/>
        </w:rPr>
        <w:t xml:space="preserve"> tranche (OFFOUMOU YAPO) - Immeuble HADJA SIDIBE KADIATOU.</w:t>
      </w: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 xml:space="preserve">Appartement N° A0-1, </w:t>
      </w:r>
    </w:p>
    <w:p w:rsidR="00286E7E" w:rsidRPr="00180D1D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  <w:sz w:val="8"/>
        </w:rPr>
      </w:pPr>
    </w:p>
    <w:p w:rsidR="00286E7E" w:rsidRPr="00180D1D" w:rsidRDefault="00286E7E" w:rsidP="00286E7E">
      <w:pPr>
        <w:pStyle w:val="En-tte"/>
        <w:ind w:left="720"/>
        <w:rPr>
          <w:sz w:val="12"/>
          <w:szCs w:val="20"/>
        </w:rPr>
      </w:pPr>
    </w:p>
    <w:p w:rsidR="00286E7E" w:rsidRPr="00242293" w:rsidRDefault="00286E7E" w:rsidP="00286E7E">
      <w:pPr>
        <w:pStyle w:val="En-tte"/>
        <w:rPr>
          <w:sz w:val="20"/>
          <w:szCs w:val="20"/>
        </w:rPr>
      </w:pPr>
      <w:r w:rsidRPr="00242293">
        <w:rPr>
          <w:sz w:val="20"/>
          <w:szCs w:val="20"/>
        </w:rPr>
        <w:t>Et</w:t>
      </w:r>
    </w:p>
    <w:p w:rsidR="00286E7E" w:rsidRPr="00180D1D" w:rsidRDefault="00286E7E" w:rsidP="00286E7E">
      <w:pPr>
        <w:tabs>
          <w:tab w:val="left" w:pos="4515"/>
        </w:tabs>
        <w:autoSpaceDE w:val="0"/>
        <w:autoSpaceDN w:val="0"/>
        <w:adjustRightInd w:val="0"/>
        <w:rPr>
          <w:rFonts w:ascii="Bookman-Demi" w:hAnsi="Bookman-Demi" w:cs="Bookman-Demi"/>
          <w:sz w:val="8"/>
        </w:rPr>
      </w:pPr>
    </w:p>
    <w:p w:rsidR="00286E7E" w:rsidRPr="00E4706D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sz w:val="8"/>
          <w:szCs w:val="8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>MONSIEUR AMARA SYLLA</w:t>
      </w: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>N° CC : 7407291W</w:t>
      </w: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>CONTACTS : 21 BP 3878 ABIDJAN 21 – Mobile : 05 53 76 55</w:t>
      </w: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>N° CPTE : BICICI : 0955810243400129</w:t>
      </w:r>
    </w:p>
    <w:p w:rsidR="00286E7E" w:rsidRPr="00E4706D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  <w:sz w:val="8"/>
          <w:szCs w:val="8"/>
        </w:rPr>
      </w:pPr>
    </w:p>
    <w:p w:rsidR="00BA210C" w:rsidRPr="00242293" w:rsidRDefault="00575D9C" w:rsidP="00286E7E">
      <w:pPr>
        <w:autoSpaceDE w:val="0"/>
        <w:autoSpaceDN w:val="0"/>
        <w:adjustRightInd w:val="0"/>
        <w:rPr>
          <w:rFonts w:ascii="Bookman-Light" w:hAnsi="Bookman-Light" w:cs="Bookman-Light"/>
          <w:b/>
        </w:rPr>
      </w:pPr>
      <w:r w:rsidRPr="00242293">
        <w:rPr>
          <w:rFonts w:ascii="Bookman-Light" w:hAnsi="Bookman-Light" w:cs="Bookman-Light"/>
          <w:b/>
        </w:rPr>
        <w:t xml:space="preserve">BUT : </w:t>
      </w:r>
    </w:p>
    <w:p w:rsidR="00BA210C" w:rsidRPr="00180D1D" w:rsidRDefault="00BA210C" w:rsidP="00286E7E">
      <w:pPr>
        <w:autoSpaceDE w:val="0"/>
        <w:autoSpaceDN w:val="0"/>
        <w:adjustRightInd w:val="0"/>
        <w:rPr>
          <w:rFonts w:ascii="Bookman-Light" w:hAnsi="Bookman-Light" w:cs="Bookman-Light"/>
          <w:sz w:val="8"/>
        </w:rPr>
      </w:pPr>
    </w:p>
    <w:p w:rsidR="00575D9C" w:rsidRPr="00242293" w:rsidRDefault="006B5600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>
        <w:rPr>
          <w:rFonts w:ascii="Bookman-Light" w:hAnsi="Bookman-Light" w:cs="Bookman-Light"/>
        </w:rPr>
        <w:t>Démarrer</w:t>
      </w:r>
      <w:r w:rsidR="00575D9C" w:rsidRPr="00242293">
        <w:rPr>
          <w:rFonts w:ascii="Bookman-Light" w:hAnsi="Bookman-Light" w:cs="Bookman-Light"/>
        </w:rPr>
        <w:t xml:space="preserve"> les activités </w:t>
      </w:r>
      <w:r w:rsidR="00BA210C" w:rsidRPr="00242293">
        <w:rPr>
          <w:rFonts w:ascii="Bookman-Light" w:hAnsi="Bookman-Light" w:cs="Bookman-Light"/>
        </w:rPr>
        <w:t>connexes à l’objet du CCGIM (Transfert, Retrait et Dépôt d’argent), paiement des factures CIE, SODECI et CANAL</w:t>
      </w:r>
      <w:r>
        <w:rPr>
          <w:rFonts w:ascii="Bookman-Light" w:hAnsi="Bookman-Light" w:cs="Bookman-Light"/>
        </w:rPr>
        <w:t>.</w:t>
      </w:r>
    </w:p>
    <w:p w:rsidR="00575D9C" w:rsidRPr="00E4706D" w:rsidRDefault="00575D9C" w:rsidP="00286E7E">
      <w:pPr>
        <w:autoSpaceDE w:val="0"/>
        <w:autoSpaceDN w:val="0"/>
        <w:adjustRightInd w:val="0"/>
        <w:rPr>
          <w:rFonts w:ascii="Bookman-Light" w:hAnsi="Bookman-Light" w:cs="Bookman-Light"/>
          <w:sz w:val="8"/>
          <w:szCs w:val="8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b/>
        </w:rPr>
      </w:pPr>
      <w:r w:rsidRPr="00242293">
        <w:rPr>
          <w:rFonts w:ascii="Bookman-Demi" w:hAnsi="Bookman-Demi" w:cs="Bookman-Demi"/>
          <w:b/>
        </w:rPr>
        <w:t xml:space="preserve">OBJET : </w:t>
      </w:r>
    </w:p>
    <w:p w:rsidR="00286E7E" w:rsidRPr="00180D1D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sz w:val="8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 xml:space="preserve">Monsieur </w:t>
      </w:r>
      <w:r w:rsidRPr="00242293">
        <w:rPr>
          <w:rFonts w:ascii="Bookman-Light" w:hAnsi="Bookman-Light" w:cs="Bookman-Light"/>
        </w:rPr>
        <w:t xml:space="preserve">AMARA SYLLA met à la disposition du </w:t>
      </w:r>
      <w:r w:rsidRPr="00242293">
        <w:rPr>
          <w:rFonts w:ascii="Bookman-Demi" w:hAnsi="Bookman-Demi" w:cs="Bookman-Demi"/>
        </w:rPr>
        <w:t>CCGIM la somme de Trois millions (3 000 000) de Francs CFA à titre de participation au capital social.</w:t>
      </w:r>
    </w:p>
    <w:p w:rsidR="00286E7E" w:rsidRPr="00180D1D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sz w:val="8"/>
        </w:rPr>
      </w:pPr>
    </w:p>
    <w:p w:rsidR="00286E7E" w:rsidRPr="00242293" w:rsidRDefault="00286E7E" w:rsidP="00286E7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Cette participation est remboursable sans intérêt.</w:t>
      </w:r>
    </w:p>
    <w:p w:rsidR="00286E7E" w:rsidRPr="00242293" w:rsidRDefault="00286E7E" w:rsidP="00286E7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Le remboursement sera possible à la demande du partenaire après un an d’exercice.</w:t>
      </w:r>
    </w:p>
    <w:p w:rsidR="00286E7E" w:rsidRPr="00E4706D" w:rsidRDefault="00286E7E" w:rsidP="00286E7E">
      <w:pPr>
        <w:pStyle w:val="Paragraphedeliste"/>
        <w:autoSpaceDE w:val="0"/>
        <w:autoSpaceDN w:val="0"/>
        <w:adjustRightInd w:val="0"/>
        <w:rPr>
          <w:rFonts w:ascii="Bookman-Demi" w:hAnsi="Bookman-Demi" w:cs="Bookman-Demi"/>
          <w:sz w:val="8"/>
          <w:szCs w:val="8"/>
        </w:rPr>
      </w:pPr>
    </w:p>
    <w:p w:rsidR="00286E7E" w:rsidRPr="00180D1D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sz w:val="8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b/>
        </w:rPr>
      </w:pPr>
      <w:r w:rsidRPr="00242293">
        <w:rPr>
          <w:rFonts w:ascii="Bookman-Demi" w:hAnsi="Bookman-Demi" w:cs="Bookman-Demi"/>
          <w:b/>
        </w:rPr>
        <w:t>DURÉE DU CONTRAT</w:t>
      </w:r>
      <w:r w:rsidR="00242293" w:rsidRPr="00242293">
        <w:rPr>
          <w:rFonts w:ascii="Bookman-Demi" w:hAnsi="Bookman-Demi" w:cs="Bookman-Demi"/>
          <w:b/>
        </w:rPr>
        <w:t> :</w:t>
      </w:r>
    </w:p>
    <w:p w:rsidR="00286E7E" w:rsidRPr="00180D1D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  <w:sz w:val="8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 xml:space="preserve">Le présent contrat est conclu pour une durée indéterminée. </w:t>
      </w: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 xml:space="preserve">Il pourra y être mis fin </w:t>
      </w:r>
      <w:r w:rsidR="00151904" w:rsidRPr="00242293">
        <w:rPr>
          <w:rFonts w:ascii="Bookman-Light" w:hAnsi="Bookman-Light" w:cs="Bookman-Light"/>
        </w:rPr>
        <w:t xml:space="preserve">à </w:t>
      </w:r>
      <w:r w:rsidRPr="00242293">
        <w:rPr>
          <w:rFonts w:ascii="Bookman-Light" w:hAnsi="Bookman-Light" w:cs="Bookman-Light"/>
        </w:rPr>
        <w:t>tout moment moyennant un préavis de trois mois de part et d’autre</w:t>
      </w:r>
      <w:r w:rsidR="00BA210C" w:rsidRPr="00242293">
        <w:rPr>
          <w:rFonts w:ascii="Bookman-Light" w:hAnsi="Bookman-Light" w:cs="Bookman-Light"/>
        </w:rPr>
        <w:t xml:space="preserve"> à compter du 31 Janvier 2020.</w:t>
      </w:r>
    </w:p>
    <w:p w:rsidR="00286E7E" w:rsidRPr="005A5B7D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sz w:val="16"/>
          <w:szCs w:val="16"/>
        </w:rPr>
      </w:pPr>
    </w:p>
    <w:p w:rsidR="00286E7E" w:rsidRPr="00242293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b/>
        </w:rPr>
      </w:pPr>
      <w:r w:rsidRPr="00242293">
        <w:rPr>
          <w:rFonts w:ascii="Bookman-Demi" w:hAnsi="Bookman-Demi" w:cs="Bookman-Demi"/>
          <w:b/>
        </w:rPr>
        <w:t>CONDITIONS FINANCIÈRES DU CONTRAT</w:t>
      </w:r>
    </w:p>
    <w:p w:rsidR="00151904" w:rsidRPr="00180D1D" w:rsidRDefault="00151904" w:rsidP="00286E7E">
      <w:pPr>
        <w:autoSpaceDE w:val="0"/>
        <w:autoSpaceDN w:val="0"/>
        <w:adjustRightInd w:val="0"/>
        <w:rPr>
          <w:rFonts w:ascii="Bookman-Demi" w:hAnsi="Bookman-Demi" w:cs="Bookman-Demi"/>
          <w:sz w:val="8"/>
        </w:rPr>
      </w:pPr>
    </w:p>
    <w:p w:rsidR="00286E7E" w:rsidRPr="00242293" w:rsidRDefault="00151904" w:rsidP="00286E7E">
      <w:p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« Le CCGIM »  (Cabinet Conseil et de Gestion Immobilière) ; représenté par Monsieur BAGAYOGO</w:t>
      </w:r>
    </w:p>
    <w:p w:rsidR="00151904" w:rsidRPr="00242293" w:rsidRDefault="00151904" w:rsidP="00286E7E">
      <w:p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établit un bilan comptable annuel avant la fin de janvier suivant l’année d’exercice.</w:t>
      </w:r>
    </w:p>
    <w:p w:rsidR="00242293" w:rsidRPr="005A5B7D" w:rsidRDefault="00242293" w:rsidP="00286E7E">
      <w:pPr>
        <w:autoSpaceDE w:val="0"/>
        <w:autoSpaceDN w:val="0"/>
        <w:adjustRightInd w:val="0"/>
        <w:rPr>
          <w:rFonts w:ascii="Bookman-Demi" w:hAnsi="Bookman-Demi" w:cs="Bookman-Demi"/>
          <w:sz w:val="16"/>
          <w:szCs w:val="16"/>
        </w:rPr>
      </w:pPr>
    </w:p>
    <w:p w:rsidR="00151904" w:rsidRPr="00242293" w:rsidRDefault="00242293" w:rsidP="0024229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Le capital social du CCGIM est de 7 200 000 F CFA (Sept milli</w:t>
      </w:r>
      <w:r w:rsidR="005A5B7D">
        <w:rPr>
          <w:rFonts w:ascii="Bookman-Demi" w:hAnsi="Bookman-Demi" w:cs="Bookman-Demi"/>
        </w:rPr>
        <w:t>ons deux cent mille Francs CFA) et reparti en 360 parts de  20 000 F CFA.</w:t>
      </w:r>
    </w:p>
    <w:p w:rsidR="00242293" w:rsidRPr="00180D1D" w:rsidRDefault="00242293" w:rsidP="00242293">
      <w:pPr>
        <w:pStyle w:val="Paragraphedeliste"/>
        <w:autoSpaceDE w:val="0"/>
        <w:autoSpaceDN w:val="0"/>
        <w:adjustRightInd w:val="0"/>
        <w:rPr>
          <w:rFonts w:ascii="Bookman-Demi" w:hAnsi="Bookman-Demi" w:cs="Bookman-Demi"/>
          <w:sz w:val="8"/>
        </w:rPr>
      </w:pPr>
    </w:p>
    <w:p w:rsidR="00151904" w:rsidRPr="00242293" w:rsidRDefault="00151904" w:rsidP="001519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Le bénéfice généré est reparti comme suit :</w:t>
      </w:r>
    </w:p>
    <w:p w:rsidR="00151904" w:rsidRPr="00242293" w:rsidRDefault="00151904" w:rsidP="001519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¼ des bénéfices pour le remboursement des crédits bancaires consentis</w:t>
      </w:r>
      <w:r w:rsidR="00245A5E">
        <w:rPr>
          <w:rFonts w:ascii="Bookman-Demi" w:hAnsi="Bookman-Demi" w:cs="Bookman-Demi"/>
        </w:rPr>
        <w:t xml:space="preserve"> qui prennent fin le 31 mars 2023.</w:t>
      </w:r>
    </w:p>
    <w:p w:rsidR="00151904" w:rsidRPr="00242293" w:rsidRDefault="00151904" w:rsidP="001519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¼ des bénéfices pour l’investissement</w:t>
      </w:r>
      <w:r w:rsidR="00245A5E">
        <w:rPr>
          <w:rFonts w:ascii="Bookman-Demi" w:hAnsi="Bookman-Demi" w:cs="Bookman-Demi"/>
        </w:rPr>
        <w:t xml:space="preserve"> (Achat de matériels d’imprimerie</w:t>
      </w:r>
      <w:r w:rsidR="00E4706D">
        <w:rPr>
          <w:rFonts w:ascii="Bookman-Demi" w:hAnsi="Bookman-Demi" w:cs="Bookman-Demi"/>
        </w:rPr>
        <w:t>,</w:t>
      </w:r>
      <w:r w:rsidR="00245A5E">
        <w:rPr>
          <w:rFonts w:ascii="Bookman-Demi" w:hAnsi="Bookman-Demi" w:cs="Bookman-Demi"/>
        </w:rPr>
        <w:t xml:space="preserve"> d’impression</w:t>
      </w:r>
      <w:r w:rsidR="00E4706D">
        <w:rPr>
          <w:rFonts w:ascii="Bookman-Demi" w:hAnsi="Bookman-Demi" w:cs="Bookman-Demi"/>
        </w:rPr>
        <w:t>, de tirage de plans et de copieurs couleurs et noir blanc).</w:t>
      </w:r>
    </w:p>
    <w:p w:rsidR="00151904" w:rsidRPr="00242293" w:rsidRDefault="00151904" w:rsidP="001519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¼ des bénéfices  pour l’épargne.</w:t>
      </w:r>
    </w:p>
    <w:p w:rsidR="00151904" w:rsidRPr="00242293" w:rsidRDefault="00151904" w:rsidP="001519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¼ des bénéfices à partager entre le CCGIM et ses partenaires participant au capital social.</w:t>
      </w:r>
    </w:p>
    <w:p w:rsidR="00575D9C" w:rsidRPr="00242293" w:rsidRDefault="00575D9C" w:rsidP="001519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Le partage de cette part se fait au prorata.</w:t>
      </w:r>
    </w:p>
    <w:p w:rsidR="00575D9C" w:rsidRPr="00180D1D" w:rsidRDefault="00575D9C" w:rsidP="00575D9C">
      <w:pPr>
        <w:pStyle w:val="Paragraphedeliste"/>
        <w:autoSpaceDE w:val="0"/>
        <w:autoSpaceDN w:val="0"/>
        <w:adjustRightInd w:val="0"/>
        <w:ind w:left="1080"/>
        <w:rPr>
          <w:rFonts w:ascii="Bookman-Demi" w:hAnsi="Bookman-Demi" w:cs="Bookman-Demi"/>
          <w:sz w:val="10"/>
        </w:rPr>
      </w:pPr>
    </w:p>
    <w:p w:rsidR="00575D9C" w:rsidRPr="00242293" w:rsidRDefault="00575D9C" w:rsidP="00575D9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 xml:space="preserve">La part de chaque partenaire participant au capital social est versée </w:t>
      </w:r>
      <w:r w:rsidR="005A5B7D">
        <w:rPr>
          <w:rFonts w:ascii="Bookman-Demi" w:hAnsi="Bookman-Demi" w:cs="Bookman-Demi"/>
        </w:rPr>
        <w:t xml:space="preserve">par trimestre </w:t>
      </w:r>
      <w:r w:rsidRPr="00242293">
        <w:rPr>
          <w:rFonts w:ascii="Bookman-Demi" w:hAnsi="Bookman-Demi" w:cs="Bookman-Demi"/>
        </w:rPr>
        <w:t xml:space="preserve">sur son compte bancaire au plus tard </w:t>
      </w:r>
      <w:r w:rsidR="005A5B7D">
        <w:rPr>
          <w:rFonts w:ascii="Bookman-Demi" w:hAnsi="Bookman-Demi" w:cs="Bookman-Demi"/>
        </w:rPr>
        <w:t>le 15 du mois suivant la fin du trimestre</w:t>
      </w:r>
      <w:r w:rsidRPr="00242293">
        <w:rPr>
          <w:rFonts w:ascii="Bookman-Demi" w:hAnsi="Bookman-Demi" w:cs="Bookman-Demi"/>
        </w:rPr>
        <w:t>.</w:t>
      </w:r>
    </w:p>
    <w:p w:rsidR="00242293" w:rsidRPr="00180D1D" w:rsidRDefault="00242293" w:rsidP="00242293">
      <w:pPr>
        <w:pStyle w:val="Paragraphedeliste"/>
        <w:autoSpaceDE w:val="0"/>
        <w:autoSpaceDN w:val="0"/>
        <w:adjustRightInd w:val="0"/>
        <w:rPr>
          <w:rFonts w:ascii="Bookman-Demi" w:hAnsi="Bookman-Demi" w:cs="Bookman-Demi"/>
          <w:sz w:val="10"/>
        </w:rPr>
      </w:pPr>
    </w:p>
    <w:p w:rsidR="00575D9C" w:rsidRPr="00242293" w:rsidRDefault="00575D9C" w:rsidP="00575D9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Une copie du reçu de versement est adressée au partenaire.</w:t>
      </w:r>
    </w:p>
    <w:p w:rsidR="00242293" w:rsidRPr="005A5B7D" w:rsidRDefault="00242293" w:rsidP="00242293">
      <w:pPr>
        <w:pStyle w:val="Paragraphedeliste"/>
        <w:rPr>
          <w:rFonts w:ascii="Bookman-Demi" w:hAnsi="Bookman-Demi" w:cs="Bookman-Demi"/>
          <w:sz w:val="16"/>
          <w:szCs w:val="16"/>
        </w:rPr>
      </w:pPr>
    </w:p>
    <w:p w:rsidR="00286E7E" w:rsidRPr="00242293" w:rsidRDefault="00464B46" w:rsidP="00286E7E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242293">
        <w:rPr>
          <w:rFonts w:ascii="Times-Roman" w:hAnsi="Times-Roman" w:cs="Times-Roman"/>
          <w:b/>
        </w:rPr>
        <w:t>CLAUSES PARTICULIERES</w:t>
      </w:r>
      <w:r w:rsidR="00286E7E" w:rsidRPr="00242293">
        <w:rPr>
          <w:rFonts w:ascii="Times-Roman" w:hAnsi="Times-Roman" w:cs="Times-Roman"/>
          <w:b/>
        </w:rPr>
        <w:t xml:space="preserve"> : </w:t>
      </w:r>
    </w:p>
    <w:p w:rsidR="00286E7E" w:rsidRPr="00180D1D" w:rsidRDefault="00286E7E" w:rsidP="00286E7E">
      <w:pPr>
        <w:autoSpaceDE w:val="0"/>
        <w:autoSpaceDN w:val="0"/>
        <w:adjustRightInd w:val="0"/>
        <w:rPr>
          <w:rFonts w:ascii="Times-Roman" w:hAnsi="Times-Roman" w:cs="Times-Roman"/>
          <w:sz w:val="8"/>
        </w:rPr>
      </w:pPr>
    </w:p>
    <w:p w:rsidR="002E67E2" w:rsidRPr="00242293" w:rsidRDefault="002E67E2" w:rsidP="00286E7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 xml:space="preserve">Une copie du bilan </w:t>
      </w:r>
      <w:r w:rsidR="00E4706D">
        <w:rPr>
          <w:rFonts w:ascii="Bookman-Demi" w:hAnsi="Bookman-Demi" w:cs="Bookman-Demi"/>
        </w:rPr>
        <w:t>trimestriel</w:t>
      </w:r>
      <w:r w:rsidRPr="00242293">
        <w:rPr>
          <w:rFonts w:ascii="Bookman-Demi" w:hAnsi="Bookman-Demi" w:cs="Bookman-Demi"/>
        </w:rPr>
        <w:t xml:space="preserve"> est adressée </w:t>
      </w:r>
      <w:r w:rsidR="00E4706D">
        <w:rPr>
          <w:rFonts w:ascii="Bookman-Demi" w:hAnsi="Bookman-Demi" w:cs="Bookman-Demi"/>
        </w:rPr>
        <w:t>au</w:t>
      </w:r>
      <w:r w:rsidRPr="00242293">
        <w:rPr>
          <w:rFonts w:ascii="Bookman-Demi" w:hAnsi="Bookman-Demi" w:cs="Bookman-Demi"/>
        </w:rPr>
        <w:t xml:space="preserve"> partenaire participant au capital social.</w:t>
      </w:r>
    </w:p>
    <w:p w:rsidR="002E67E2" w:rsidRPr="00242293" w:rsidRDefault="002E67E2" w:rsidP="00286E7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 xml:space="preserve">Une copie du statut du CCGIM est remise </w:t>
      </w:r>
      <w:r w:rsidR="00E4706D">
        <w:rPr>
          <w:rFonts w:ascii="Bookman-Demi" w:hAnsi="Bookman-Demi" w:cs="Bookman-Demi"/>
        </w:rPr>
        <w:t>au</w:t>
      </w:r>
      <w:r w:rsidRPr="00242293">
        <w:rPr>
          <w:rFonts w:ascii="Bookman-Demi" w:hAnsi="Bookman-Demi" w:cs="Bookman-Demi"/>
        </w:rPr>
        <w:t xml:space="preserve"> partenaire participant au capital social</w:t>
      </w:r>
    </w:p>
    <w:p w:rsidR="00464B46" w:rsidRDefault="00464B46" w:rsidP="00286E7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Bookman-Demi" w:hAnsi="Bookman-Demi" w:cs="Bookman-Demi"/>
        </w:rPr>
      </w:pPr>
      <w:r w:rsidRPr="00242293">
        <w:rPr>
          <w:rFonts w:ascii="Bookman-Demi" w:hAnsi="Bookman-Demi" w:cs="Bookman-Demi"/>
        </w:rPr>
        <w:t>Une partie de la part sociale du partenaire participant peut être retirée au cours de l’année comptable. Dans ce cas</w:t>
      </w:r>
      <w:r w:rsidR="00242293" w:rsidRPr="00242293">
        <w:rPr>
          <w:rFonts w:ascii="Bookman-Demi" w:hAnsi="Bookman-Demi" w:cs="Bookman-Demi"/>
        </w:rPr>
        <w:t>,</w:t>
      </w:r>
      <w:r w:rsidRPr="00242293">
        <w:rPr>
          <w:rFonts w:ascii="Bookman-Demi" w:hAnsi="Bookman-Demi" w:cs="Bookman-Demi"/>
        </w:rPr>
        <w:t xml:space="preserve"> seule la part restante est prise </w:t>
      </w:r>
      <w:r w:rsidR="00242293" w:rsidRPr="00242293">
        <w:rPr>
          <w:rFonts w:ascii="Bookman-Demi" w:hAnsi="Bookman-Demi" w:cs="Bookman-Demi"/>
        </w:rPr>
        <w:t xml:space="preserve">en compte </w:t>
      </w:r>
      <w:r w:rsidRPr="00242293">
        <w:rPr>
          <w:rFonts w:ascii="Bookman-Demi" w:hAnsi="Bookman-Demi" w:cs="Bookman-Demi"/>
        </w:rPr>
        <w:t xml:space="preserve">dans le calcul de partage des bénéfices au prorata. </w:t>
      </w:r>
    </w:p>
    <w:p w:rsidR="00286E7E" w:rsidRPr="005A5B7D" w:rsidRDefault="00286E7E" w:rsidP="00286E7E">
      <w:pPr>
        <w:autoSpaceDE w:val="0"/>
        <w:autoSpaceDN w:val="0"/>
        <w:adjustRightInd w:val="0"/>
        <w:rPr>
          <w:rFonts w:ascii="Bookman-Demi" w:hAnsi="Bookman-Demi" w:cs="Bookman-Demi"/>
          <w:sz w:val="16"/>
          <w:szCs w:val="16"/>
        </w:rPr>
      </w:pPr>
    </w:p>
    <w:p w:rsidR="00286E7E" w:rsidRPr="00242293" w:rsidRDefault="00286E7E" w:rsidP="00180D1D">
      <w:pPr>
        <w:autoSpaceDE w:val="0"/>
        <w:autoSpaceDN w:val="0"/>
        <w:adjustRightInd w:val="0"/>
        <w:jc w:val="center"/>
        <w:rPr>
          <w:rFonts w:ascii="Bookman-Light" w:hAnsi="Bookman-Light" w:cs="Bookman-Light"/>
        </w:rPr>
      </w:pPr>
      <w:r w:rsidRPr="00242293">
        <w:rPr>
          <w:rFonts w:ascii="Bookman-Light" w:hAnsi="Bookman-Light" w:cs="Bookman-Light"/>
        </w:rPr>
        <w:t>Fait à Abidjan, le ……………..………………… 2019 en deux exemplaires, chaque partie ayant retiré son exemplaire.</w:t>
      </w:r>
    </w:p>
    <w:p w:rsidR="00286E7E" w:rsidRPr="005A5B7D" w:rsidRDefault="00286E7E" w:rsidP="00286E7E">
      <w:pPr>
        <w:autoSpaceDE w:val="0"/>
        <w:autoSpaceDN w:val="0"/>
        <w:adjustRightInd w:val="0"/>
        <w:rPr>
          <w:rFonts w:ascii="Bookman-Light" w:hAnsi="Bookman-Light" w:cs="Bookman-Light"/>
          <w:sz w:val="10"/>
          <w:szCs w:val="10"/>
        </w:rPr>
      </w:pPr>
    </w:p>
    <w:p w:rsidR="00286E7E" w:rsidRPr="00242293" w:rsidRDefault="00286E7E" w:rsidP="00286E7E">
      <w:pPr>
        <w:autoSpaceDE w:val="0"/>
        <w:autoSpaceDN w:val="0"/>
        <w:adjustRightInd w:val="0"/>
        <w:ind w:left="708" w:hanging="708"/>
        <w:rPr>
          <w:rFonts w:ascii="Bookman-Light" w:hAnsi="Bookman-Light" w:cs="Bookman-Light"/>
          <w:b/>
        </w:rPr>
      </w:pPr>
      <w:r w:rsidRPr="00242293">
        <w:rPr>
          <w:rFonts w:ascii="Bookman-Light" w:hAnsi="Bookman-Light" w:cs="Bookman-Light"/>
        </w:rPr>
        <w:t>BAGAYOGO Amadou</w:t>
      </w:r>
      <w:r w:rsidRPr="00242293">
        <w:rPr>
          <w:rFonts w:ascii="Bookman-Light" w:hAnsi="Bookman-Light" w:cs="Bookman-Light"/>
          <w:b/>
        </w:rPr>
        <w:t xml:space="preserve"> </w:t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  <w:t xml:space="preserve">  </w:t>
      </w:r>
      <w:r w:rsidR="00180D1D">
        <w:rPr>
          <w:rFonts w:ascii="Bookman-Light" w:hAnsi="Bookman-Light" w:cs="Bookman-Light"/>
          <w:b/>
        </w:rPr>
        <w:tab/>
      </w:r>
      <w:r w:rsidR="00180D1D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</w:rPr>
        <w:t>Amara SYLLA</w:t>
      </w:r>
      <w:r w:rsidRPr="00242293">
        <w:rPr>
          <w:rFonts w:ascii="Bookman-Light" w:hAnsi="Bookman-Light" w:cs="Bookman-Light"/>
          <w:b/>
        </w:rPr>
        <w:tab/>
      </w:r>
    </w:p>
    <w:p w:rsidR="00286E7E" w:rsidRPr="00242293" w:rsidRDefault="00286E7E" w:rsidP="00180D1D">
      <w:pPr>
        <w:autoSpaceDE w:val="0"/>
        <w:autoSpaceDN w:val="0"/>
        <w:adjustRightInd w:val="0"/>
      </w:pPr>
      <w:r w:rsidRPr="00242293">
        <w:rPr>
          <w:rFonts w:ascii="Bookman-Light" w:hAnsi="Bookman-Light" w:cs="Bookman-Light"/>
          <w:b/>
        </w:rPr>
        <w:t xml:space="preserve">         Le Gérant</w:t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</w:r>
      <w:r w:rsidRPr="00242293">
        <w:rPr>
          <w:rFonts w:ascii="Bookman-Light" w:hAnsi="Bookman-Light" w:cs="Bookman-Light"/>
          <w:b/>
        </w:rPr>
        <w:tab/>
        <w:t xml:space="preserve">   </w:t>
      </w:r>
      <w:r w:rsidR="00180D1D">
        <w:rPr>
          <w:rFonts w:ascii="Bookman-Light" w:hAnsi="Bookman-Light" w:cs="Bookman-Light"/>
          <w:b/>
        </w:rPr>
        <w:tab/>
      </w:r>
      <w:r w:rsidR="00180D1D">
        <w:rPr>
          <w:rFonts w:ascii="Bookman-Light" w:hAnsi="Bookman-Light" w:cs="Bookman-Light"/>
          <w:b/>
        </w:rPr>
        <w:tab/>
        <w:t xml:space="preserve"> </w:t>
      </w:r>
      <w:r w:rsidR="006B5600">
        <w:rPr>
          <w:rFonts w:ascii="Bookman-Light" w:hAnsi="Bookman-Light" w:cs="Bookman-Light"/>
          <w:b/>
        </w:rPr>
        <w:t>Le Partenaire</w:t>
      </w:r>
      <w:r w:rsidRPr="00242293">
        <w:rPr>
          <w:rFonts w:ascii="Bookman-Light" w:hAnsi="Bookman-Light" w:cs="Bookman-Light"/>
        </w:rPr>
        <w:t xml:space="preserve">      </w:t>
      </w:r>
    </w:p>
    <w:p w:rsidR="00286E7E" w:rsidRPr="00242293" w:rsidRDefault="00286E7E" w:rsidP="00286E7E"/>
    <w:p w:rsidR="00286E7E" w:rsidRPr="00242293" w:rsidRDefault="00286E7E" w:rsidP="00286E7E">
      <w:pPr>
        <w:pStyle w:val="En-tte"/>
        <w:ind w:left="720"/>
        <w:rPr>
          <w:sz w:val="20"/>
          <w:szCs w:val="20"/>
        </w:rPr>
      </w:pPr>
    </w:p>
    <w:p w:rsidR="006A1CC2" w:rsidRPr="00242293" w:rsidRDefault="006A1CC2"/>
    <w:sectPr w:rsidR="006A1CC2" w:rsidRPr="00242293" w:rsidSect="00180D1D">
      <w:headerReference w:type="default" r:id="rId7"/>
      <w:pgSz w:w="11906" w:h="16838" w:code="9"/>
      <w:pgMar w:top="284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C8D" w:rsidRDefault="00286C8D">
      <w:r>
        <w:separator/>
      </w:r>
    </w:p>
  </w:endnote>
  <w:endnote w:type="continuationSeparator" w:id="0">
    <w:p w:rsidR="00286C8D" w:rsidRDefault="0028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C8D" w:rsidRDefault="00286C8D">
      <w:r>
        <w:separator/>
      </w:r>
    </w:p>
  </w:footnote>
  <w:footnote w:type="continuationSeparator" w:id="0">
    <w:p w:rsidR="00286C8D" w:rsidRDefault="00286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CABINET CONSEIL ET DE GESTION IMMOBILIERE (CCGIM)</w:t>
    </w:r>
  </w:p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SARL UNIPERSONNEL – CAPITAL SOCIAL : 7</w:t>
    </w:r>
    <w:r w:rsidR="00242293" w:rsidRPr="005543D6">
      <w:rPr>
        <w:b/>
        <w:sz w:val="16"/>
        <w:szCs w:val="16"/>
      </w:rPr>
      <w:t xml:space="preserve"> </w:t>
    </w:r>
    <w:r w:rsidRPr="005543D6">
      <w:rPr>
        <w:b/>
        <w:sz w:val="16"/>
        <w:szCs w:val="16"/>
      </w:rPr>
      <w:t>20</w:t>
    </w:r>
    <w:r w:rsidR="00242293" w:rsidRPr="005543D6">
      <w:rPr>
        <w:b/>
        <w:sz w:val="16"/>
        <w:szCs w:val="16"/>
      </w:rPr>
      <w:t>0</w:t>
    </w:r>
    <w:r w:rsidRPr="005543D6">
      <w:rPr>
        <w:b/>
        <w:sz w:val="16"/>
        <w:szCs w:val="16"/>
      </w:rPr>
      <w:t> 000 F CFA – N° de Dépôt CEPICI : 31268 du 07/12/2016</w:t>
    </w:r>
  </w:p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RCCM : N° CI-ABJ-2016-B-30580 du 07/12/2016 au Tribunal du Commerce d’Abidjan</w:t>
    </w:r>
  </w:p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  <w:lang w:val="en-US"/>
      </w:rPr>
    </w:pPr>
    <w:r w:rsidRPr="005543D6">
      <w:rPr>
        <w:b/>
        <w:sz w:val="16"/>
        <w:szCs w:val="16"/>
        <w:lang w:val="en-US"/>
      </w:rPr>
      <w:t>GERANT: BAGAYOGO AMADOU</w:t>
    </w:r>
  </w:p>
  <w:p w:rsidR="008F66F5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SIEGE SOCIAL: ABIDJAN – YOPOUGON ATTIE 9</w:t>
    </w:r>
    <w:r w:rsidRPr="005543D6">
      <w:rPr>
        <w:b/>
        <w:sz w:val="16"/>
        <w:szCs w:val="16"/>
        <w:vertAlign w:val="superscript"/>
      </w:rPr>
      <w:t>ième</w:t>
    </w:r>
    <w:r w:rsidRPr="005543D6">
      <w:rPr>
        <w:b/>
        <w:sz w:val="16"/>
        <w:szCs w:val="16"/>
      </w:rPr>
      <w:t xml:space="preserve"> tranche (OFFOUMOU YAPO)</w:t>
    </w:r>
  </w:p>
  <w:p w:rsidR="00E33CDC" w:rsidRPr="005543D6" w:rsidRDefault="00E33C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>
      <w:rPr>
        <w:b/>
        <w:sz w:val="16"/>
        <w:szCs w:val="16"/>
      </w:rPr>
      <w:t>N° Compte Entreprise : BHCI-CCGIM : CI 01002 011062030004 24</w:t>
    </w:r>
  </w:p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ADRESSE : 01 BP 3269 ABIDJAN 01</w:t>
    </w:r>
  </w:p>
  <w:p w:rsidR="008F66F5" w:rsidRPr="005543D6" w:rsidRDefault="004070DC" w:rsidP="008F66F5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5543D6">
      <w:rPr>
        <w:b/>
        <w:sz w:val="16"/>
        <w:szCs w:val="16"/>
      </w:rPr>
      <w:t>BUREAU : 23 46 29 23 – 23 46 02 38 - MOBILES : 03 32 59 24 – 07 85 65 28 – 04 92 79 51</w:t>
    </w:r>
  </w:p>
  <w:p w:rsidR="008F66F5" w:rsidRPr="00242293" w:rsidRDefault="004070DC" w:rsidP="008F66F5">
    <w:pPr>
      <w:pBdr>
        <w:bottom w:val="single" w:sz="4" w:space="1" w:color="auto"/>
      </w:pBdr>
      <w:jc w:val="center"/>
      <w:rPr>
        <w:b/>
        <w:sz w:val="10"/>
        <w:szCs w:val="10"/>
      </w:rPr>
    </w:pPr>
    <w:r w:rsidRPr="005543D6">
      <w:rPr>
        <w:b/>
        <w:sz w:val="16"/>
        <w:szCs w:val="16"/>
      </w:rPr>
      <w:t xml:space="preserve">E-mail : </w:t>
    </w:r>
    <w:hyperlink r:id="rId1" w:history="1">
      <w:r w:rsidRPr="005543D6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08C4"/>
    <w:multiLevelType w:val="hybridMultilevel"/>
    <w:tmpl w:val="8B8E709A"/>
    <w:lvl w:ilvl="0" w:tplc="38B0023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3A3320"/>
    <w:multiLevelType w:val="hybridMultilevel"/>
    <w:tmpl w:val="BA665442"/>
    <w:lvl w:ilvl="0" w:tplc="515A7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0838"/>
    <w:multiLevelType w:val="hybridMultilevel"/>
    <w:tmpl w:val="FA262746"/>
    <w:lvl w:ilvl="0" w:tplc="B396F1FC">
      <w:start w:val="1"/>
      <w:numFmt w:val="bullet"/>
      <w:lvlText w:val="-"/>
      <w:lvlJc w:val="left"/>
      <w:pPr>
        <w:ind w:left="1080" w:hanging="360"/>
      </w:pPr>
      <w:rPr>
        <w:rFonts w:ascii="Bookman-Demi" w:eastAsia="Times New Roman" w:hAnsi="Bookman-Demi" w:cs="Bookman-Dem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609F2"/>
    <w:multiLevelType w:val="hybridMultilevel"/>
    <w:tmpl w:val="C608B9CA"/>
    <w:lvl w:ilvl="0" w:tplc="6AE2D3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987D83"/>
    <w:multiLevelType w:val="hybridMultilevel"/>
    <w:tmpl w:val="74183F16"/>
    <w:lvl w:ilvl="0" w:tplc="E1807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7E"/>
    <w:rsid w:val="00151904"/>
    <w:rsid w:val="00180D1D"/>
    <w:rsid w:val="00242293"/>
    <w:rsid w:val="00243D05"/>
    <w:rsid w:val="00245A5E"/>
    <w:rsid w:val="00286C8D"/>
    <w:rsid w:val="00286E7E"/>
    <w:rsid w:val="002E67E2"/>
    <w:rsid w:val="004070DC"/>
    <w:rsid w:val="00464B46"/>
    <w:rsid w:val="005543D6"/>
    <w:rsid w:val="00575D9C"/>
    <w:rsid w:val="005A5B7D"/>
    <w:rsid w:val="006A1CC2"/>
    <w:rsid w:val="006B5600"/>
    <w:rsid w:val="00916E3A"/>
    <w:rsid w:val="00BA210C"/>
    <w:rsid w:val="00E33CDC"/>
    <w:rsid w:val="00E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BDC98C-2EF4-43B1-950E-61C3437D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6E7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86E7E"/>
  </w:style>
  <w:style w:type="character" w:styleId="Lienhypertexte">
    <w:name w:val="Hyperlink"/>
    <w:basedOn w:val="Policepardfaut"/>
    <w:uiPriority w:val="99"/>
    <w:unhideWhenUsed/>
    <w:rsid w:val="00286E7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86E7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2422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229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43D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3D6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cp:lastPrinted>2019-01-19T12:19:00Z</cp:lastPrinted>
  <dcterms:created xsi:type="dcterms:W3CDTF">2019-01-19T10:56:00Z</dcterms:created>
  <dcterms:modified xsi:type="dcterms:W3CDTF">2019-02-16T16:12:00Z</dcterms:modified>
</cp:coreProperties>
</file>