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Pham-Pay 설계 초안 v0.1</w:t>
      </w:r>
    </w:p>
    <w:p>
      <w:pPr>
        <w:pStyle w:val="Heading2"/>
      </w:pPr>
      <w:r>
        <w:t>1. Pham-Pay 핵심 개념</w:t>
      </w:r>
    </w:p>
    <w:p>
      <w:r>
        <w:br/>
        <w:t>- 역할: KAO 경제권 연방코인 + 개인코인 기반 통합 결제 게이트웨이</w:t>
        <w:br/>
        <w:t>- 목표: “모든 콘텐츠·서비스·후원·거래”를 한 번의 QR·링크·API로 처리</w:t>
        <w:br/>
        <w:t>- 차별점:</w:t>
        <w:br/>
        <w:t xml:space="preserve">    1. 연결 → Phamtasia(스토리/콘텐츠) + Phamgaea(메인 경제권) + Phamtlantis(히든 시티)</w:t>
        <w:br/>
        <w:t xml:space="preserve">    2. 개인코인 → 창작자, 유저, 연구자 누구나 토큰 발행 가능</w:t>
        <w:br/>
        <w:t xml:space="preserve">    3. 로컬·서버 하이브리드 → 초기엔 서버형 API, 이후 SNN 임베딩형 오프라인 결제 노드까지 확장</w:t>
        <w:br/>
      </w:r>
    </w:p>
    <w:p>
      <w:pPr>
        <w:pStyle w:val="Heading2"/>
      </w:pPr>
      <w:r>
        <w:t>2. Pham-Pay v0.1 MVP</w:t>
      </w:r>
    </w:p>
    <w:p>
      <w:r>
        <w:br/>
        <w:t>1) 중앙 원장(Ledger)</w:t>
        <w:br/>
        <w:t xml:space="preserve">   - 사용자/상점 지갑</w:t>
        <w:br/>
        <w:t xml:space="preserve">   - 원화·USD·스테이블코인 → Off-chain 크레딧 전환</w:t>
        <w:br/>
        <w:br/>
        <w:t>2) 결제 링크 &amp; QR</w:t>
        <w:br/>
        <w:t xml:space="preserve">   - 후원/구독/티켓 구매</w:t>
        <w:br/>
        <w:t xml:space="preserve">   - 앱 없이 브라우저 기반으로 3-step UX</w:t>
        <w:br/>
        <w:br/>
        <w:t>3) 개인코인(포인트) 발행</w:t>
        <w:br/>
        <w:t xml:space="preserve">   - PHAM 연방코인 기반으로 서브토큰 생성</w:t>
        <w:br/>
        <w:t xml:space="preserve">   - 콘텐츠·서비스 접근권한/특전 부여 가능</w:t>
        <w:br/>
        <w:br/>
        <w:t>4) KAO 통합 로그인 + Pham-Pay 월렛</w:t>
        <w:br/>
        <w:t xml:space="preserve">   - Passkey(WebAuthn) 기반 → 별도 회원가입 최소화</w:t>
        <w:br/>
        <w:br/>
        <w:t>5) 정산 및 투명성</w:t>
        <w:br/>
        <w:t xml:space="preserve">   - 상점별 매출, 크리에이터 수익 대시보드</w:t>
        <w:br/>
        <w:t xml:space="preserve">   - 블록체인 수준의 원장 정합성 보장(초기엔 Off-chain)</w:t>
        <w:br/>
      </w:r>
    </w:p>
    <w:p>
      <w:pPr>
        <w:pStyle w:val="Heading2"/>
      </w:pPr>
      <w:r>
        <w:t>3. 수익 모델</w:t>
      </w:r>
    </w:p>
    <w:p>
      <w:r>
        <w:br/>
        <w:t>- 결제 수수료: 1.0% + ₩100</w:t>
        <w:br/>
        <w:t>- 개인코인 발행 수수료: 발행 시 1회 비용 + 월 관리비</w:t>
        <w:br/>
        <w:t>- 프리미엄 플랜: 월 $19 ~ $49</w:t>
        <w:br/>
        <w:t>- 마켓플레이스 수수료: 티켓·쿠폰·구독권 5% 커미션</w:t>
        <w:br/>
        <w:t>- 환전 스프레드: 0.5% (선택)</w:t>
        <w:br/>
      </w:r>
    </w:p>
    <w:p>
      <w:pPr>
        <w:pStyle w:val="Heading2"/>
      </w:pPr>
      <w:r>
        <w:t>4. Pham-Pay와 연구 연계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현재(Server)</w:t>
            </w:r>
          </w:p>
        </w:tc>
        <w:tc>
          <w:tcPr>
            <w:tcW w:type="dxa" w:w="2880"/>
          </w:tcPr>
          <w:p>
            <w:r>
              <w:t>확장(SNN·DTG·로컬)</w:t>
            </w:r>
          </w:p>
        </w:tc>
      </w:tr>
      <w:tr>
        <w:tc>
          <w:tcPr>
            <w:tcW w:type="dxa" w:w="2880"/>
          </w:tcPr>
          <w:p>
            <w:r>
              <w:t>결제 처리</w:t>
            </w:r>
          </w:p>
        </w:tc>
        <w:tc>
          <w:tcPr>
            <w:tcW w:type="dxa" w:w="2880"/>
          </w:tcPr>
          <w:p>
            <w:r>
              <w:t>중앙 서버 API</w:t>
            </w:r>
          </w:p>
        </w:tc>
        <w:tc>
          <w:tcPr>
            <w:tcW w:type="dxa" w:w="2880"/>
          </w:tcPr>
          <w:p>
            <w:r>
              <w:t>오프라인 승인</w:t>
            </w:r>
          </w:p>
        </w:tc>
      </w:tr>
      <w:tr>
        <w:tc>
          <w:tcPr>
            <w:tcW w:type="dxa" w:w="2880"/>
          </w:tcPr>
          <w:p>
            <w:r>
              <w:t>위험탐지</w:t>
            </w:r>
          </w:p>
        </w:tc>
        <w:tc>
          <w:tcPr>
            <w:tcW w:type="dxa" w:w="2880"/>
          </w:tcPr>
          <w:p>
            <w:r>
              <w:t>룰 기반</w:t>
            </w:r>
          </w:p>
        </w:tc>
        <w:tc>
          <w:tcPr>
            <w:tcW w:type="dxa" w:w="2880"/>
          </w:tcPr>
          <w:p>
            <w:r>
              <w:t>Qquarts SNN 소형 모델 탑재</w:t>
            </w:r>
          </w:p>
        </w:tc>
      </w:tr>
      <w:tr>
        <w:tc>
          <w:tcPr>
            <w:tcW w:type="dxa" w:w="2880"/>
          </w:tcPr>
          <w:p>
            <w:r>
              <w:t>사용자 인증</w:t>
            </w:r>
          </w:p>
        </w:tc>
        <w:tc>
          <w:tcPr>
            <w:tcW w:type="dxa" w:w="2880"/>
          </w:tcPr>
          <w:p>
            <w:r>
              <w:t>Passkey(WebAuthn)</w:t>
            </w:r>
          </w:p>
        </w:tc>
        <w:tc>
          <w:tcPr>
            <w:tcW w:type="dxa" w:w="2880"/>
          </w:tcPr>
          <w:p>
            <w:r>
              <w:t>Edge 인증 노드</w:t>
            </w:r>
          </w:p>
        </w:tc>
      </w:tr>
      <w:tr>
        <w:tc>
          <w:tcPr>
            <w:tcW w:type="dxa" w:w="2880"/>
          </w:tcPr>
          <w:p>
            <w:r>
              <w:t>개인코인 관리</w:t>
            </w:r>
          </w:p>
        </w:tc>
        <w:tc>
          <w:tcPr>
            <w:tcW w:type="dxa" w:w="2880"/>
          </w:tcPr>
          <w:p>
            <w:r>
              <w:t>Off-chain 포인트</w:t>
            </w:r>
          </w:p>
        </w:tc>
        <w:tc>
          <w:tcPr>
            <w:tcW w:type="dxa" w:w="2880"/>
          </w:tcPr>
          <w:p>
            <w:r>
              <w:t>On-chain 브릿지</w:t>
            </w:r>
          </w:p>
        </w:tc>
      </w:tr>
      <w:tr>
        <w:tc>
          <w:tcPr>
            <w:tcW w:type="dxa" w:w="2880"/>
          </w:tcPr>
          <w:p>
            <w:r>
              <w:t>데이터 프라이버시</w:t>
            </w:r>
          </w:p>
        </w:tc>
        <w:tc>
          <w:tcPr>
            <w:tcW w:type="dxa" w:w="2880"/>
          </w:tcPr>
          <w:p>
            <w:r>
              <w:t>서버 집중형</w:t>
            </w:r>
          </w:p>
        </w:tc>
        <w:tc>
          <w:tcPr>
            <w:tcW w:type="dxa" w:w="2880"/>
          </w:tcPr>
          <w:p>
            <w:r>
              <w:t>로컬 분산형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