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1E2761"/>
          <w:sz w:val="32"/>
          <w:szCs w:val="32"/>
        </w:rPr>
        <w:t xml:space="preserve">Compliance AI — 준법자문가 AI Agent 서비스</w:t>
      </w:r>
    </w:p>
    <w:p>
      <w:pPr>
        <w:spacing w:after="160"/>
      </w:pPr>
      <w:r>
        <w:rPr>
          <w:b/>
          <w:bCs/>
          <w:color w:val="0F6B72"/>
          <w:sz w:val="20"/>
          <w:szCs w:val="20"/>
        </w:rPr>
        <w:t xml:space="preserve">기능 명세서 (Functional Specification)</w:t>
      </w:r>
      <w:r>
        <w:rPr>
          <w:color w:val="6B7280"/>
          <w:sz w:val="16"/>
          <w:szCs w:val="16"/>
        </w:rPr>
        <w:t xml:space="preserve">   |   JB금융그룹 AX전략부 제안   |   2026. 07</w:t>
      </w:r>
    </w:p>
    <w:p>
      <w:pPr>
        <w:pStyle w:val="Heading1"/>
        <w:pBdr>
          <w:bottom w:val="single" w:color="1E2761" w:sz="4" w:space="3"/>
        </w:pBdr>
      </w:pPr>
      <w:r>
        <w:t xml:space="preserve">1. 서비스 개요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8640"/>
      </w:tblGrid>
      <w:tr>
        <w:tc>
          <w:tcPr>
            <w:tcW w:type="dxa" w:w="2160"/>
            <w:tcBorders>
              <w:top w:val="single" w:color="C9CDD6" w:sz="2"/>
              <w:left w:val="single" w:color="C9CDD6" w:sz="2"/>
              <w:bottom w:val="single" w:color="C9CDD6" w:sz="2"/>
              <w:right w:val="single" w:color="C9CDD6" w:sz="2"/>
            </w:tcBorders>
            <w:shd w:fill="EAF1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서비스명</w:t>
            </w:r>
          </w:p>
        </w:tc>
        <w:tc>
          <w:tcPr>
            <w:tcW w:type="dxa" w:w="8640"/>
            <w:tcBorders>
              <w:top w:val="single" w:color="C9CDD6" w:sz="2"/>
              <w:left w:val="single" w:color="C9CDD6" w:sz="2"/>
              <w:bottom w:val="single" w:color="C9CDD6" w:sz="2"/>
              <w:right w:val="single" w:color="C9CDD6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color w:val="2A2E35"/>
                <w:sz w:val="18"/>
                <w:szCs w:val="18"/>
              </w:rPr>
              <w:t xml:space="preserve">Compliance AI – 준법자문가 AI Agent</w:t>
            </w:r>
          </w:p>
        </w:tc>
      </w:tr>
      <w:tr>
        <w:tc>
          <w:tcPr>
            <w:tcW w:type="dxa" w:w="2160"/>
            <w:tcBorders>
              <w:top w:val="single" w:color="C9CDD6" w:sz="2"/>
              <w:left w:val="single" w:color="C9CDD6" w:sz="2"/>
              <w:bottom w:val="single" w:color="C9CDD6" w:sz="2"/>
              <w:right w:val="single" w:color="C9CDD6" w:sz="2"/>
            </w:tcBorders>
            <w:shd w:fill="EAF1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목적</w:t>
            </w:r>
          </w:p>
        </w:tc>
        <w:tc>
          <w:tcPr>
            <w:tcW w:type="dxa" w:w="8640"/>
            <w:tcBorders>
              <w:top w:val="single" w:color="C9CDD6" w:sz="2"/>
              <w:left w:val="single" w:color="C9CDD6" w:sz="2"/>
              <w:bottom w:val="single" w:color="C9CDD6" w:sz="2"/>
              <w:right w:val="single" w:color="C9CDD6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color w:val="2A2E35"/>
                <w:sz w:val="18"/>
                <w:szCs w:val="18"/>
              </w:rPr>
              <w:t xml:space="preserve">영업점·심사·상품개발 등 현업 임직원이 업무 중 발생하는 법규 및 내부통제 문의에 실시간으로 답변받고, 고위험 사안은 준법감시인에게 자동 연계하는 생성형 AI 기반 준법자문 어시스턴트</w:t>
            </w:r>
          </w:p>
        </w:tc>
      </w:tr>
      <w:tr>
        <w:tc>
          <w:tcPr>
            <w:tcW w:type="dxa" w:w="2160"/>
            <w:tcBorders>
              <w:top w:val="single" w:color="C9CDD6" w:sz="2"/>
              <w:left w:val="single" w:color="C9CDD6" w:sz="2"/>
              <w:bottom w:val="single" w:color="C9CDD6" w:sz="2"/>
              <w:right w:val="single" w:color="C9CDD6" w:sz="2"/>
            </w:tcBorders>
            <w:shd w:fill="EAF1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추진 배경</w:t>
            </w:r>
          </w:p>
        </w:tc>
        <w:tc>
          <w:tcPr>
            <w:tcW w:type="dxa" w:w="8640"/>
            <w:tcBorders>
              <w:top w:val="single" w:color="C9CDD6" w:sz="2"/>
              <w:left w:val="single" w:color="C9CDD6" w:sz="2"/>
              <w:bottom w:val="single" w:color="C9CDD6" w:sz="2"/>
              <w:right w:val="single" w:color="C9CDD6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color w:val="2A2E35"/>
                <w:sz w:val="18"/>
                <w:szCs w:val="18"/>
              </w:rPr>
              <w:t xml:space="preserve">JB금융그룹은 AX전략부를 중심으로 그룹 AI 내재화를 추진 중이며, JB·BNK·iM 3사는 AI 활용에 따른 윤리적·법적 준수 및 리스크 관리를 위한 공동 AI 거버넌스를 수립하고 있다. 본 서비스는 해당 거버넌스를 현장에서 실행하는 도구로서, 실무 준법 문의 대응 속도와 정확도를 높이고 AI 활용 확대에 따른 컴플라이언스 리스크를 사전에 통제한다.</w:t>
            </w:r>
          </w:p>
        </w:tc>
      </w:tr>
      <w:tr>
        <w:tc>
          <w:tcPr>
            <w:tcW w:type="dxa" w:w="2160"/>
            <w:tcBorders>
              <w:top w:val="single" w:color="C9CDD6" w:sz="2"/>
              <w:left w:val="single" w:color="C9CDD6" w:sz="2"/>
              <w:bottom w:val="single" w:color="C9CDD6" w:sz="2"/>
              <w:right w:val="single" w:color="C9CDD6" w:sz="2"/>
            </w:tcBorders>
            <w:shd w:fill="EAF1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1E2761"/>
                <w:sz w:val="18"/>
                <w:szCs w:val="18"/>
              </w:rPr>
              <w:t xml:space="preserve">대상 사용자</w:t>
            </w:r>
          </w:p>
        </w:tc>
        <w:tc>
          <w:tcPr>
            <w:tcW w:type="dxa" w:w="8640"/>
            <w:tcBorders>
              <w:top w:val="single" w:color="C9CDD6" w:sz="2"/>
              <w:left w:val="single" w:color="C9CDD6" w:sz="2"/>
              <w:bottom w:val="single" w:color="C9CDD6" w:sz="2"/>
              <w:right w:val="single" w:color="C9CDD6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color w:val="2A2E35"/>
                <w:sz w:val="18"/>
                <w:szCs w:val="18"/>
              </w:rPr>
              <w:t xml:space="preserve">영업점 직원, 여신심사역, 상품개발·마케팅 담당자, 준법감시인 (전북은행·광주은행·JB우리캐피탈 공통 활용)</w:t>
            </w:r>
          </w:p>
        </w:tc>
      </w:tr>
    </w:tbl>
    <w:p>
      <w:pPr>
        <w:pStyle w:val="Heading1"/>
        <w:pBdr>
          <w:bottom w:val="single" w:color="1E2761" w:sz="4" w:space="3"/>
        </w:pBdr>
      </w:pPr>
      <w:r>
        <w:t xml:space="preserve">2. 시스템 구성도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3133725"/>
            <wp:effectExtent t="0" r="0" b="0" l="0"/>
            <wp:docPr id="1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B7280"/>
          <w:sz w:val="15"/>
          <w:szCs w:val="15"/>
        </w:rPr>
        <w:t xml:space="preserve">그림 1. Compliance AI Agent 시스템 구성도 — 사용자·인터페이스·AI Agent 코어·데이터 계층 및 그룹 AI 거버넌스 연계</w:t>
      </w:r>
    </w:p>
    <w:p>
      <w:pPr>
        <w:pStyle w:val="Heading1"/>
        <w:pBdr>
          <w:bottom w:val="single" w:color="1E2761" w:sz="4" w:space="3"/>
        </w:pBdr>
      </w:pPr>
      <w:r>
        <w:t xml:space="preserve">3. 핵심 기능 명세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600"/>
      </w:tblGrid>
      <w:tr>
        <w:tc>
          <w:tcPr>
            <w:tcW w:type="dxa" w:w="3200"/>
            <w:tcBorders>
              <w:top w:val="single" w:color="C9CDD6" w:sz="2"/>
              <w:left w:val="single" w:color="C9CDD6" w:sz="2"/>
              <w:bottom w:val="single" w:color="C9CDD6" w:sz="2"/>
              <w:right w:val="single" w:color="C9CDD6" w:sz="2"/>
            </w:tcBorders>
            <w:shd w:fill="1E276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핵심 기능</w:t>
            </w:r>
          </w:p>
        </w:tc>
        <w:tc>
          <w:tcPr>
            <w:tcW w:type="dxa" w:w="7600"/>
            <w:tcBorders>
              <w:top w:val="single" w:color="C9CDD6" w:sz="2"/>
              <w:left w:val="single" w:color="C9CDD6" w:sz="2"/>
              <w:bottom w:val="single" w:color="C9CDD6" w:sz="2"/>
              <w:right w:val="single" w:color="C9CDD6" w:sz="2"/>
            </w:tcBorders>
            <w:shd w:fill="1E2761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기능 설명</w:t>
            </w:r>
          </w:p>
        </w:tc>
      </w:tr>
      <w:tr>
        <w:tc>
          <w:tcPr>
            <w:tcW w:type="dxa" w:w="3200"/>
            <w:tcBorders>
              <w:top w:val="single" w:color="C9CDD6" w:sz="2"/>
              <w:left w:val="single" w:color="C9CDD6" w:sz="2"/>
              <w:bottom w:val="single" w:color="C9CDD6" w:sz="2"/>
              <w:right w:val="single" w:color="C9CDD6" w:sz="2"/>
            </w:tcBorders>
            <w:shd w:fill="F7F9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1E2761"/>
                <w:sz w:val="17"/>
                <w:szCs w:val="17"/>
              </w:rPr>
              <w:t xml:space="preserve">자연어 법규·내부규정 질의응답</w:t>
            </w:r>
          </w:p>
        </w:tc>
        <w:tc>
          <w:tcPr>
            <w:tcW w:type="dxa" w:w="7600"/>
            <w:tcBorders>
              <w:top w:val="single" w:color="C9CDD6" w:sz="2"/>
              <w:left w:val="single" w:color="C9CDD6" w:sz="2"/>
              <w:bottom w:val="single" w:color="C9CDD6" w:sz="2"/>
              <w:right w:val="single" w:color="C9CDD6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color w:val="2A2E35"/>
                <w:sz w:val="17"/>
                <w:szCs w:val="17"/>
              </w:rPr>
              <w:t xml:space="preserve">RAG 기반으로 은행법·금융소비자보호법 등 관련 법령 및 내부 규정을 검색·요약하여 답변하고, 근거 조항과 출처를 함께 제시</w:t>
            </w:r>
          </w:p>
        </w:tc>
      </w:tr>
      <w:tr>
        <w:tc>
          <w:tcPr>
            <w:tcW w:type="dxa" w:w="3200"/>
            <w:tcBorders>
              <w:top w:val="single" w:color="C9CDD6" w:sz="2"/>
              <w:left w:val="single" w:color="C9CDD6" w:sz="2"/>
              <w:bottom w:val="single" w:color="C9CDD6" w:sz="2"/>
              <w:right w:val="single" w:color="C9CDD6" w:sz="2"/>
            </w:tcBorders>
            <w:shd w:fill="F7F9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1E2761"/>
                <w:sz w:val="17"/>
                <w:szCs w:val="17"/>
              </w:rPr>
              <w:t xml:space="preserve">상품·광고 문구 사전검토</w:t>
            </w:r>
          </w:p>
        </w:tc>
        <w:tc>
          <w:tcPr>
            <w:tcW w:type="dxa" w:w="7600"/>
            <w:tcBorders>
              <w:top w:val="single" w:color="C9CDD6" w:sz="2"/>
              <w:left w:val="single" w:color="C9CDD6" w:sz="2"/>
              <w:bottom w:val="single" w:color="C9CDD6" w:sz="2"/>
              <w:right w:val="single" w:color="C9CDD6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color w:val="2A2E35"/>
                <w:sz w:val="17"/>
                <w:szCs w:val="17"/>
              </w:rPr>
              <w:t xml:space="preserve">광고·상품설명서 초안 업로드 시 표시광고법·금융소비자보호법 위반 소지를 자동 탐지하고 수정안을 제안</w:t>
            </w:r>
          </w:p>
        </w:tc>
      </w:tr>
      <w:tr>
        <w:tc>
          <w:tcPr>
            <w:tcW w:type="dxa" w:w="3200"/>
            <w:tcBorders>
              <w:top w:val="single" w:color="C9CDD6" w:sz="2"/>
              <w:left w:val="single" w:color="C9CDD6" w:sz="2"/>
              <w:bottom w:val="single" w:color="C9CDD6" w:sz="2"/>
              <w:right w:val="single" w:color="C9CDD6" w:sz="2"/>
            </w:tcBorders>
            <w:shd w:fill="F7F9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1E2761"/>
                <w:sz w:val="17"/>
                <w:szCs w:val="17"/>
              </w:rPr>
              <w:t xml:space="preserve">준법 체크리스트 자동생성</w:t>
            </w:r>
          </w:p>
        </w:tc>
        <w:tc>
          <w:tcPr>
            <w:tcW w:type="dxa" w:w="7600"/>
            <w:tcBorders>
              <w:top w:val="single" w:color="C9CDD6" w:sz="2"/>
              <w:left w:val="single" w:color="C9CDD6" w:sz="2"/>
              <w:bottom w:val="single" w:color="C9CDD6" w:sz="2"/>
              <w:right w:val="single" w:color="C9CDD6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color w:val="2A2E35"/>
                <w:sz w:val="17"/>
                <w:szCs w:val="17"/>
              </w:rPr>
              <w:t xml:space="preserve">여신·영업 거래 유형별 필수 준수사항 체크리스트를 자동 생성하고 처리 진행상황을 추적</w:t>
            </w:r>
          </w:p>
        </w:tc>
      </w:tr>
      <w:tr>
        <w:tc>
          <w:tcPr>
            <w:tcW w:type="dxa" w:w="3200"/>
            <w:tcBorders>
              <w:top w:val="single" w:color="C9CDD6" w:sz="2"/>
              <w:left w:val="single" w:color="C9CDD6" w:sz="2"/>
              <w:bottom w:val="single" w:color="C9CDD6" w:sz="2"/>
              <w:right w:val="single" w:color="C9CDD6" w:sz="2"/>
            </w:tcBorders>
            <w:shd w:fill="F7F9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1E2761"/>
                <w:sz w:val="17"/>
                <w:szCs w:val="17"/>
              </w:rPr>
              <w:t xml:space="preserve">규제 변경 모니터링·알림</w:t>
            </w:r>
          </w:p>
        </w:tc>
        <w:tc>
          <w:tcPr>
            <w:tcW w:type="dxa" w:w="7600"/>
            <w:tcBorders>
              <w:top w:val="single" w:color="C9CDD6" w:sz="2"/>
              <w:left w:val="single" w:color="C9CDD6" w:sz="2"/>
              <w:bottom w:val="single" w:color="C9CDD6" w:sz="2"/>
              <w:right w:val="single" w:color="C9CDD6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color w:val="2A2E35"/>
                <w:sz w:val="17"/>
                <w:szCs w:val="17"/>
              </w:rPr>
              <w:t xml:space="preserve">금융위·금감원 등의 법령 개정, 유권해석, 제재사례를 상시 모니터링하여 관련 부서에 맞춤 알림 발송</w:t>
            </w:r>
          </w:p>
        </w:tc>
      </w:tr>
      <w:tr>
        <w:tc>
          <w:tcPr>
            <w:tcW w:type="dxa" w:w="3200"/>
            <w:tcBorders>
              <w:top w:val="single" w:color="C9CDD6" w:sz="2"/>
              <w:left w:val="single" w:color="C9CDD6" w:sz="2"/>
              <w:bottom w:val="single" w:color="C9CDD6" w:sz="2"/>
              <w:right w:val="single" w:color="C9CDD6" w:sz="2"/>
            </w:tcBorders>
            <w:shd w:fill="F7F9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1E2761"/>
                <w:sz w:val="17"/>
                <w:szCs w:val="17"/>
              </w:rPr>
              <w:t xml:space="preserve">준법감시인 검토 라우팅 (Human-in-the-loop)</w:t>
            </w:r>
          </w:p>
        </w:tc>
        <w:tc>
          <w:tcPr>
            <w:tcW w:type="dxa" w:w="7600"/>
            <w:tcBorders>
              <w:top w:val="single" w:color="C9CDD6" w:sz="2"/>
              <w:left w:val="single" w:color="C9CDD6" w:sz="2"/>
              <w:bottom w:val="single" w:color="C9CDD6" w:sz="2"/>
              <w:right w:val="single" w:color="C9CDD6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color w:val="2A2E35"/>
                <w:sz w:val="17"/>
                <w:szCs w:val="17"/>
              </w:rPr>
              <w:t xml:space="preserve">AI 응답에 신뢰도·리스크 점수를 부여하고, 고위험 사안은 준법감시인 최종 승인 절차로 자동 연계</w:t>
            </w:r>
          </w:p>
        </w:tc>
      </w:tr>
      <w:tr>
        <w:tc>
          <w:tcPr>
            <w:tcW w:type="dxa" w:w="3200"/>
            <w:tcBorders>
              <w:top w:val="single" w:color="C9CDD6" w:sz="2"/>
              <w:left w:val="single" w:color="C9CDD6" w:sz="2"/>
              <w:bottom w:val="single" w:color="C9CDD6" w:sz="2"/>
              <w:right w:val="single" w:color="C9CDD6" w:sz="2"/>
            </w:tcBorders>
            <w:shd w:fill="F7F9F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1E2761"/>
                <w:sz w:val="17"/>
                <w:szCs w:val="17"/>
              </w:rPr>
              <w:t xml:space="preserve">감사증적(Audit Trail) 자동 기록</w:t>
            </w:r>
          </w:p>
        </w:tc>
        <w:tc>
          <w:tcPr>
            <w:tcW w:type="dxa" w:w="7600"/>
            <w:tcBorders>
              <w:top w:val="single" w:color="C9CDD6" w:sz="2"/>
              <w:left w:val="single" w:color="C9CDD6" w:sz="2"/>
              <w:bottom w:val="single" w:color="C9CDD6" w:sz="2"/>
              <w:right w:val="single" w:color="C9CDD6" w:sz="2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color w:val="2A2E35"/>
                <w:sz w:val="17"/>
                <w:szCs w:val="17"/>
              </w:rPr>
              <w:t xml:space="preserve">모든 질의·응답·근거·승인 이력을 로그화하여 내부통제 감사 및 금융당국 대응자료로 활용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pBdr>
          <w:bottom w:val="single" w:color="1E2761" w:sz="4" w:space="3"/>
        </w:pBdr>
      </w:pPr>
      <w:r>
        <w:t xml:space="preserve">4. 중요 기능 흐름도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2524125"/>
            <wp:effectExtent t="0" r="0" b="0" l="0"/>
            <wp:docPr id="1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B7280"/>
          <w:sz w:val="15"/>
          <w:szCs w:val="15"/>
        </w:rPr>
        <w:t xml:space="preserve">그림 2. 질의응답 및 리스크 기반 준법감시인 라우팅 흐름</w:t>
      </w:r>
    </w:p>
    <w:p>
      <w:pPr>
        <w:pStyle w:val="Heading1"/>
        <w:pBdr>
          <w:bottom w:val="single" w:color="1E2761" w:sz="4" w:space="3"/>
        </w:pBdr>
      </w:pPr>
      <w:r>
        <w:t xml:space="preserve">5. 향후 발전 방향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E35"/>
          <w:sz w:val="18"/>
          <w:szCs w:val="18"/>
        </w:rPr>
        <w:t xml:space="preserve">1단계(MVP) — 전북은행 여신·수신 상담 업무를 중심으로 실증(PoC)을 진행하고 정확도·응답속도·현업 만족도를 검증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E35"/>
          <w:sz w:val="18"/>
          <w:szCs w:val="18"/>
        </w:rPr>
        <w:t xml:space="preserve">2단계(확장) — 광주은행·JB우리캐피탈 등 계열사로 적용 범위를 확대하고, JB·BNK·iM 3사 공동 AI 거버넌스와 연계한 통합 리스크 대시보드를 구축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A2E35"/>
          <w:sz w:val="18"/>
          <w:szCs w:val="18"/>
        </w:rPr>
        <w:t xml:space="preserve">3단계(고도화) — 계약서·약관 초안 자동 리스크 스캐닝, 규제 대응 시뮬레이션 등 예방형(Proactive) 컴플라이언스로 진화시켜, JB금융그룹의 AI Native 전략을 뒷받침하는 그룹 표준 컴플라이언스 플랫폼으로 발전</w:t>
      </w:r>
    </w:p>
    <w:sectPr>
      <w:footerReference w:type="default" r:id="rId7"/>
      <w:pgSz w:w="12240" w:h="15840" w:orient="portrait"/>
      <w:pgMar w:top="720" w:right="720" w:bottom="64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A8F99"/>
        <w:sz w:val="14"/>
        <w:szCs w:val="14"/>
      </w:rPr>
      <w:t xml:space="preserve">Compliance AI – 준법자문가 AI Agent 서비스 기능 명세서</w:t>
    </w:r>
    <w:r>
      <w:t xml:space="preserve">	</w:t>
    </w:r>
    <w:r>
      <w:rPr>
        <w:color w:val="8A8F99"/>
        <w:sz w:val="14"/>
        <w:szCs w:val="14"/>
      </w:rPr>
      <w:t xml:space="preserve"/>
    </w:r>
    <w:r>
      <w:rPr>
        <w:color w:val="8A8F99"/>
        <w:sz w:val="14"/>
        <w:szCs w:val="14"/>
      </w:rPr>
      <w:t xml:space="preserve">페이지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90" w:before="200"/>
      <w:outlineLvl w:val="0"/>
    </w:pPr>
    <w:rPr>
      <w:rFonts w:ascii="Malgun Gothic" w:cs="Malgun Gothic" w:eastAsia="Malgun Gothic" w:hAnsi="Malgun Gothic"/>
      <w:b/>
      <w:bCs/>
      <w:color w:val="1E276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26ecace77549e7be922a94e60b6ae0093eb941f.png"/><Relationship Id="rId9" Type="http://schemas.openxmlformats.org/officeDocument/2006/relationships/image" Target="media/d6d08821245be53310df72e1c1817f15687166e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2026-07-02T04:59:19.340Z</dcterms:created>
  <dcterms:modified xsi:type="dcterms:W3CDTF">2026-07-02T04:59:19.341Z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