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8170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混合制热场景基于PINN的数据驱动模型说明书</w:t>
      </w:r>
    </w:p>
    <w:p w14:paraId="61ADB0B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</w:rPr>
        <w:t>联电数字孪生项目交付文档</w:t>
      </w:r>
    </w:p>
    <w:p w14:paraId="0C22454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版本：v1.0    日期：2025-12-19</w:t>
      </w:r>
    </w:p>
    <w:p w14:paraId="63EB89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E1F56C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文档目的与交付范围</w:t>
      </w:r>
    </w:p>
    <w:p w14:paraId="257B36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本文档说明混合制热工况下的 PINN 数据驱动预测模型，包括：模型选型思路、模型结构、训练与验证方法、部署方法与加速建议，并给出交付物清单与接口约定。</w:t>
      </w:r>
    </w:p>
    <w:p w14:paraId="43E2F7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场景与任务定义</w:t>
      </w:r>
    </w:p>
    <w:p w14:paraId="1A88D9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混合制热：PTC 与压缩机（热泵/压缩机制热）可能同时工作，系统能量流耦合更强、工况切换更频繁。</w:t>
      </w:r>
    </w:p>
    <w:p w14:paraId="79DEDA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目标：基于过去 300 s 的环境温度与热源功率相关信号，预测未来序列的座舱温度与总功率，并在训练中引入能量守恒与热力学约束，提高外推稳定性。</w:t>
      </w:r>
    </w:p>
    <w:p w14:paraId="1B7B79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数据集定义</w:t>
      </w:r>
    </w:p>
    <w:p w14:paraId="1A7E133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原始数据格式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322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E1F99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</w:t>
            </w:r>
          </w:p>
        </w:tc>
        <w:tc>
          <w:tcPr>
            <w:tcW w:w="3173" w:type="dxa"/>
          </w:tcPr>
          <w:p w14:paraId="4C1D86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列索引</w:t>
            </w:r>
          </w:p>
        </w:tc>
        <w:tc>
          <w:tcPr>
            <w:tcW w:w="3173" w:type="dxa"/>
          </w:tcPr>
          <w:p w14:paraId="56FF48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D83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C8A6E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环境温度</w:t>
            </w:r>
          </w:p>
        </w:tc>
        <w:tc>
          <w:tcPr>
            <w:tcW w:w="3173" w:type="dxa"/>
          </w:tcPr>
          <w:p w14:paraId="04BA1B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tcW w:w="3173" w:type="dxa"/>
          </w:tcPr>
          <w:p w14:paraId="70E8BD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ambient_temp</w:t>
            </w:r>
          </w:p>
        </w:tc>
      </w:tr>
      <w:tr w14:paraId="3509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37B812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PTC功率</w:t>
            </w:r>
          </w:p>
        </w:tc>
        <w:tc>
          <w:tcPr>
            <w:tcW w:w="3173" w:type="dxa"/>
          </w:tcPr>
          <w:p w14:paraId="5F5E4E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3173" w:type="dxa"/>
          </w:tcPr>
          <w:p w14:paraId="15BB3A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ptc_power</w:t>
            </w:r>
          </w:p>
        </w:tc>
      </w:tr>
      <w:tr w14:paraId="2E2D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C2A62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座舱温度</w:t>
            </w:r>
          </w:p>
        </w:tc>
        <w:tc>
          <w:tcPr>
            <w:tcW w:w="3173" w:type="dxa"/>
          </w:tcPr>
          <w:p w14:paraId="72E85F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3173" w:type="dxa"/>
          </w:tcPr>
          <w:p w14:paraId="3A6820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cabin_temp</w:t>
            </w:r>
          </w:p>
        </w:tc>
      </w:tr>
      <w:tr w14:paraId="3B887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A8B40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压缩机功率</w:t>
            </w:r>
          </w:p>
        </w:tc>
        <w:tc>
          <w:tcPr>
            <w:tcW w:w="3173" w:type="dxa"/>
          </w:tcPr>
          <w:p w14:paraId="0E87C1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3173" w:type="dxa"/>
          </w:tcPr>
          <w:p w14:paraId="3FD4ED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compressor_power</w:t>
            </w:r>
          </w:p>
        </w:tc>
      </w:tr>
      <w:tr w14:paraId="6251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263032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总功率</w:t>
            </w:r>
          </w:p>
        </w:tc>
        <w:tc>
          <w:tcPr>
            <w:tcW w:w="3173" w:type="dxa"/>
          </w:tcPr>
          <w:p w14:paraId="656C35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3173" w:type="dxa"/>
          </w:tcPr>
          <w:p w14:paraId="60117D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total_power</w:t>
            </w:r>
          </w:p>
        </w:tc>
      </w:tr>
    </w:tbl>
    <w:p w14:paraId="7CDB95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notebook 中默认从 ../data/train 下加载 trip*.npy，并将所有 trip 拼接以计算全局归一化统计量。</w:t>
      </w:r>
    </w:p>
    <w:p w14:paraId="296F33D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归一化方法</w:t>
      </w:r>
    </w:p>
    <w:p w14:paraId="50C641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采用稳健归一化：median/MAD（median absolute deviation），对异常值更鲁棒。每个特征 i 的归一化形式：</w:t>
      </w:r>
    </w:p>
    <w:p w14:paraId="27DCF4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x_norm = (x - median_i) / max(MAD_i, 1e-6)</w:t>
      </w:r>
    </w:p>
    <w:p w14:paraId="6F23BC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归一化统计量在训练阶段计算，并应与模型权重一起保存/版本化。</w:t>
      </w:r>
    </w:p>
    <w:p w14:paraId="4DDB136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特征工程（输入维度 11）</w:t>
      </w:r>
    </w:p>
    <w:p w14:paraId="0EDF44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模型输入为 11 维特征序列（input_size=11），由以下部分组成：</w:t>
      </w:r>
    </w:p>
    <w:p w14:paraId="51E48C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A) 基础输入（3维）：[环境温度, PTC功率, 压缩机功率]（均为归一化后的数值）。</w:t>
      </w:r>
    </w:p>
    <w:p w14:paraId="53841E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B) 一阶差分（3维）：上述 3 维输入的时间差分特征（np.diff + prepend）。</w:t>
      </w:r>
    </w:p>
    <w:p w14:paraId="60A328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C) 滑动窗口统计（2维）：功率和 power_sum 的滚动均值 power_sum_ma，以及 PTC/压缩机功率比的滚动均值 power_ratio_ma（窗口=10）。</w:t>
      </w:r>
    </w:p>
    <w:p w14:paraId="5DB299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D) 物理启发特征（2维）：环境温度梯度 temp_gradient 与功率变化率 power_change_rate。</w:t>
      </w:r>
    </w:p>
    <w:p w14:paraId="5790EE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E) 滞后特征（1维）：lagged_total_power_norm（总功率的 1 步滞后并做稳健归一化）。</w:t>
      </w:r>
    </w:p>
    <w:p w14:paraId="6438941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标签定义</w:t>
      </w:r>
    </w:p>
    <w:p w14:paraId="6C11FD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监督标签为原始尺度（未归一化）的：</w:t>
      </w:r>
    </w:p>
    <w:p w14:paraId="2432E6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座舱温度序列 label_temp：data[:,2]</w:t>
      </w:r>
    </w:p>
    <w:p w14:paraId="14B634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总功率序列 label_total_power：data[:,4]</w:t>
      </w:r>
    </w:p>
    <w:p w14:paraId="2CDE85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模型选型思路</w:t>
      </w:r>
    </w:p>
    <w:p w14:paraId="136EE5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纯数据驱动模型在混合制热场景容易出现两类问题：</w:t>
      </w:r>
    </w:p>
    <w:p w14:paraId="200B59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1) 外推不稳定：工况切换或数据稀疏区间出现发散/不合理预测。</w:t>
      </w:r>
    </w:p>
    <w:p w14:paraId="15B8E2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2) 物理一致性不足：预测总功率与已知 PTC/压缩机功率和、温度变化之间缺乏能量约束。</w:t>
      </w:r>
    </w:p>
    <w:p w14:paraId="5BDD27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因此采用 PINN 思路：在数据损失之外加入能量守恒和简化热平衡约束，帮助模型在有限数据下保持合理性。</w:t>
      </w:r>
    </w:p>
    <w:p w14:paraId="676A644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模型结构解读（DynamicDecoupledHybridPINN）</w:t>
      </w:r>
    </w:p>
    <w:p w14:paraId="05F039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模型包含共享编码器 + 任务解耦模块 + 双预测头：</w:t>
      </w:r>
    </w:p>
    <w:p w14:paraId="6E83FB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共享编码器：多层双向 LSTM（BiLSTM）提取时序特征；接 Multihead Self-Attention 聚合序列信息。</w:t>
      </w:r>
    </w:p>
    <w:p w14:paraId="678684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任务解耦：为温度与功率分别设置残差块（residual block）与跳连（skip），并引入可学习 decouple_weight_temp / decouple_weight_power。</w:t>
      </w:r>
    </w:p>
    <w:p w14:paraId="033722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预测头：分别输出未来座舱温度与总功率的预测序列。</w:t>
      </w:r>
    </w:p>
    <w:p w14:paraId="42B7285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损失函数与物理约束</w:t>
      </w:r>
    </w:p>
    <w:p w14:paraId="3DE08E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综合损失（calculate_corrected_loss）包含：</w:t>
      </w:r>
    </w:p>
    <w:p w14:paraId="0F7A2D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A) 数据损失：温度 MSE + 功率 MSE（功率可按 kW 缩放以平衡量纲）。</w:t>
      </w:r>
    </w:p>
    <w:p w14:paraId="3EDEA8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B) 能量守恒约束：预测总功率应与已知功率和（PTC+压缩机）一致。</w:t>
      </w:r>
    </w:p>
    <w:p w14:paraId="1994EB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C) 热力学约束：基于简化热平衡：</w:t>
      </w:r>
    </w:p>
    <w:p w14:paraId="2C7400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损失项 Q_loss = k_base * surface_area * (T_pred - T_ambient)</w:t>
      </w:r>
    </w:p>
    <w:p w14:paraId="320442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供热项 Q_heating = PTC*eff_ptc + Comp*eff_comp</w:t>
      </w:r>
    </w:p>
    <w:p w14:paraId="69F4B2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理论温升 dT_theoretical = (Q_heating - Q_loss)*dt/(mass_air*specific_heat_capacity)</w:t>
      </w:r>
    </w:p>
    <w:p w14:paraId="373447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预测温升 dT_predicted = T_pred - T_cabin_input</w:t>
      </w:r>
    </w:p>
    <w:p w14:paraId="5C01E3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 dT_predicted 与 dT_theoretical 的 MSE 作为 thermal_constraint_loss。</w:t>
      </w:r>
    </w:p>
    <w:p w14:paraId="749F60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损失权重在 PHYSICAL_PARAMS 中配置（alpha/beta/gamma_energy/gamma_thermal 等）。</w:t>
      </w:r>
    </w:p>
    <w:p w14:paraId="25B036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训练方法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5"/>
        <w:gridCol w:w="5753"/>
      </w:tblGrid>
      <w:tr w14:paraId="45DB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402CEB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输入长度</w:t>
            </w:r>
          </w:p>
        </w:tc>
        <w:tc>
          <w:tcPr>
            <w:tcW w:w="5753" w:type="dxa"/>
          </w:tcPr>
          <w:p w14:paraId="5DBA25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sequence_length=300</w:t>
            </w:r>
          </w:p>
        </w:tc>
      </w:tr>
      <w:tr w14:paraId="2ACE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1FC497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采样步长</w:t>
            </w:r>
          </w:p>
        </w:tc>
        <w:tc>
          <w:tcPr>
            <w:tcW w:w="5753" w:type="dxa"/>
          </w:tcPr>
          <w:p w14:paraId="113103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step_size=5（从长序列滑窗采样时每 5 步取一个样本）</w:t>
            </w:r>
          </w:p>
        </w:tc>
      </w:tr>
      <w:tr w14:paraId="60D0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001425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 size</w:t>
            </w:r>
          </w:p>
        </w:tc>
        <w:tc>
          <w:tcPr>
            <w:tcW w:w="5753" w:type="dxa"/>
          </w:tcPr>
          <w:p w14:paraId="279C29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64</w:t>
            </w:r>
          </w:p>
        </w:tc>
      </w:tr>
      <w:tr w14:paraId="5DB6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6F0CB6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训练轮数</w:t>
            </w:r>
          </w:p>
        </w:tc>
        <w:tc>
          <w:tcPr>
            <w:tcW w:w="5753" w:type="dxa"/>
          </w:tcPr>
          <w:p w14:paraId="41D4FC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epochs=50</w:t>
            </w:r>
          </w:p>
        </w:tc>
      </w:tr>
      <w:tr w14:paraId="46D3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41C6A2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优化器</w:t>
            </w:r>
          </w:p>
        </w:tc>
        <w:tc>
          <w:tcPr>
            <w:tcW w:w="5753" w:type="dxa"/>
          </w:tcPr>
          <w:p w14:paraId="165596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AdamW（lr=1e-3, weight_decay=1e-4）</w:t>
            </w:r>
          </w:p>
        </w:tc>
      </w:tr>
      <w:tr w14:paraId="4D75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5" w:type="dxa"/>
          </w:tcPr>
          <w:p w14:paraId="0ADD44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模型保存</w:t>
            </w:r>
          </w:p>
        </w:tc>
        <w:tc>
          <w:tcPr>
            <w:tcW w:w="5753" w:type="dxa"/>
          </w:tcPr>
          <w:p w14:paraId="0CB9EC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保存到 ../model/best_balanced_hybrid_pinn_v2.pt（包含权重、物理参数、归一化统计量）</w:t>
            </w:r>
          </w:p>
        </w:tc>
      </w:tr>
    </w:tbl>
    <w:p w14:paraId="12F969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训练过程中建议记录：总损失、温度损失、功率损失、物理损失，并在验证集上选择最优 checkpoint。</w:t>
      </w:r>
    </w:p>
    <w:p w14:paraId="62306FB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验证方法与效果</w:t>
      </w:r>
    </w:p>
    <w:p w14:paraId="60D179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验证建议覆盖：</w:t>
      </w:r>
    </w:p>
    <w:p w14:paraId="4C1AE8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温度：MAE/RMSE/R²，尤其关注低温启动与工况切换段。</w:t>
      </w:r>
    </w:p>
    <w:p w14:paraId="046B24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功率：MAE/RMSE/R²，并检查预测总功率与 PTC+压缩机功率和的偏差。</w:t>
      </w:r>
    </w:p>
    <w:p w14:paraId="3B9FB8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物理一致性：thermal_constraint_loss 分布；能量守恒误差分布。</w:t>
      </w:r>
    </w:p>
    <w:p w14:paraId="499362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- 可视化：随机 trip 的历史 300 s + 预测窗口曲线拼接展示（用于前端演示）。</w:t>
      </w:r>
    </w:p>
    <w:p w14:paraId="007F866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部署方法</w:t>
      </w:r>
    </w:p>
    <w:p w14:paraId="7F663A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部署侧最小接口建议：</w:t>
      </w:r>
    </w:p>
    <w:p w14:paraId="252C10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输入：最近 300 s 的 [环境温度, PTC功率, 压缩机功率, (可选)总功率] 序列，构造 11 维特征。</w:t>
      </w:r>
    </w:p>
    <w:p w14:paraId="283050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处理：加载 best_balanced_hybrid_pinn_v2.pt，读取 normalization_stats 与 PHYSICAL_PARAMS，完成归一化与特征工程。</w:t>
      </w:r>
    </w:p>
    <w:p w14:paraId="677AEB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输出：未来 T 步座舱温度预测与总功率预测（可按前端逻辑拼接到 3 分钟历史 + 6 分钟预测）。</w:t>
      </w:r>
    </w:p>
    <w:p w14:paraId="0F4832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加速与工程化建议</w:t>
      </w:r>
    </w:p>
    <w:p w14:paraId="00F998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加速建议与单制冷类似：TorchScript/torch.compile、ONNX/TensorRT、FP16 推理与批量化。</w:t>
      </w:r>
    </w:p>
    <w:p w14:paraId="2B85CB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工程化建议：将特征工程封装为纯 numpy/torch 的函数（避免 pandas 在推理侧引入额外开销），并提供一致性测试（与 notebook 输出对齐）。</w:t>
      </w:r>
    </w:p>
    <w:p w14:paraId="62298E9D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1698</Words>
  <Characters>2926</Characters>
  <Lines>0</Lines>
  <Paragraphs>0</Paragraphs>
  <TotalTime>2</TotalTime>
  <ScaleCrop>false</ScaleCrop>
  <LinksUpToDate>false</LinksUpToDate>
  <CharactersWithSpaces>3187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曼走</cp:lastModifiedBy>
  <dcterms:modified xsi:type="dcterms:W3CDTF">2025-12-19T08:04:58Z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eyJoZGlkIjoiOGIyZmRiMmM5MzliNmEyNTQ3ODllODZkOTY1M2FjYTQiLCJ1c2VySWQiOiI0MTA1ODE2NjEifQ==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1BA5B381553F468EA69ADE6426012116_12</vt:lpwstr>
  </property>
</Properties>
</file>