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Microsoft YaHei UI" w:cs="Microsoft YaHei UI" w:hAnsi="Microsoft YaHei UI" w:eastAsia="Microsoft YaHei UI"/>
        </w:rPr>
      </w:pPr>
      <w:r>
        <w:rPr>
          <w:rFonts w:ascii="Microsoft YaHei UI" w:cs="Microsoft YaHei UI" w:hAnsi="Microsoft YaHei UI" w:eastAsia="Microsoft YaHei U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1188719</wp:posOffset>
                </wp:positionH>
                <wp:positionV relativeFrom="page">
                  <wp:posOffset>7424928</wp:posOffset>
                </wp:positionV>
                <wp:extent cx="4345305" cy="1719073"/>
                <wp:effectExtent l="0" t="0" r="0" b="0"/>
                <wp:wrapNone/>
                <wp:docPr id="1073741825" name="officeArt object" descr="标题和副标题&#10;&#10;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17190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80"/>
                              <w:rPr>
                                <w:rFonts w:ascii="Helvetica" w:cs="Helvetica" w:hAnsi="Helvetica" w:eastAsia="Helvetica"/>
                                <w:i w:val="1"/>
                                <w:iCs w:val="1"/>
                                <w:outline w:val="0"/>
                                <w:color w:val="262626"/>
                                <w:sz w:val="32"/>
                                <w:szCs w:val="32"/>
                                <w:u w:color="262626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outline w:val="0"/>
                                <w:color w:val="262626"/>
                                <w:sz w:val="32"/>
                                <w:szCs w:val="32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Xiaoran Li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outline w:val="0"/>
                                <w:color w:val="262626"/>
                                <w:sz w:val="32"/>
                                <w:szCs w:val="32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 ,  Yuchuan Lin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outline w:val="0"/>
                                <w:color w:val="262626"/>
                                <w:sz w:val="32"/>
                                <w:szCs w:val="32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 ,  Dandan Xu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outline w:val="0"/>
                                <w:color w:val="262626"/>
                                <w:sz w:val="26"/>
                                <w:szCs w:val="26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Nuid:  0010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outline w:val="0"/>
                                <w:color w:val="262626"/>
                                <w:sz w:val="26"/>
                                <w:szCs w:val="26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23070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outline w:val="0"/>
                                <w:color w:val="262626"/>
                                <w:sz w:val="26"/>
                                <w:szCs w:val="26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, 001302756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outline w:val="0"/>
                                <w:color w:val="262626"/>
                                <w:sz w:val="26"/>
                                <w:szCs w:val="26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outline w:val="0"/>
                                <w:color w:val="262626"/>
                                <w:sz w:val="26"/>
                                <w:szCs w:val="26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001085731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3.6pt;margin-top:584.6pt;width:342.1pt;height:135.4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80"/>
                        <w:rPr>
                          <w:rFonts w:ascii="Helvetica" w:cs="Helvetica" w:hAnsi="Helvetica" w:eastAsia="Helvetica"/>
                          <w:i w:val="1"/>
                          <w:iCs w:val="1"/>
                          <w:outline w:val="0"/>
                          <w:color w:val="262626"/>
                          <w:sz w:val="32"/>
                          <w:szCs w:val="32"/>
                          <w:u w:color="262626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outline w:val="0"/>
                          <w:color w:val="262626"/>
                          <w:sz w:val="32"/>
                          <w:szCs w:val="32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Xiaoran Li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outline w:val="0"/>
                          <w:color w:val="262626"/>
                          <w:sz w:val="32"/>
                          <w:szCs w:val="32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 ,  Yuchuan Lin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outline w:val="0"/>
                          <w:color w:val="262626"/>
                          <w:sz w:val="32"/>
                          <w:szCs w:val="32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 ,  Dandan Xu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outline w:val="0"/>
                          <w:color w:val="262626"/>
                          <w:sz w:val="26"/>
                          <w:szCs w:val="26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Nuid:  0010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outline w:val="0"/>
                          <w:color w:val="262626"/>
                          <w:sz w:val="26"/>
                          <w:szCs w:val="26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23070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outline w:val="0"/>
                          <w:color w:val="262626"/>
                          <w:sz w:val="26"/>
                          <w:szCs w:val="26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, 001302756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outline w:val="0"/>
                          <w:color w:val="262626"/>
                          <w:sz w:val="26"/>
                          <w:szCs w:val="26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outline w:val="0"/>
                          <w:color w:val="262626"/>
                          <w:sz w:val="26"/>
                          <w:szCs w:val="26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001085731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Microsoft YaHei UI" w:cs="Microsoft YaHei UI" w:hAnsi="Microsoft YaHei UI" w:eastAsia="Microsoft YaHei UI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ge">
                  <wp:posOffset>1508760</wp:posOffset>
                </wp:positionV>
                <wp:extent cx="1" cy="1543050"/>
                <wp:effectExtent l="0" t="0" r="0" b="0"/>
                <wp:wrapNone/>
                <wp:docPr id="1073741826" name="officeArt object" descr="直线连接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154305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2626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61.2pt;margin-top:118.8pt;width:0.0pt;height:121.5pt;z-index:-251659264;mso-position-horizontal:absolute;mso-position-horizontal-relative:page;mso-position-vertical:absolute;mso-position-vertical-relative:page;mso-wrap-distance-left:0.0pt;mso-wrap-distance-top:0.0pt;mso-wrap-distance-right:0.0pt;mso-wrap-distance-bottom:0.0pt;flip:x;">
                <v:fill on="f"/>
                <v:stroke filltype="solid" color="#262626" opacity="100.0%" weight="2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Microsoft YaHei UI" w:cs="Microsoft YaHei UI" w:hAnsi="Microsoft YaHei UI" w:eastAsia="Microsoft YaHei U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1188719</wp:posOffset>
                </wp:positionH>
                <wp:positionV relativeFrom="page">
                  <wp:posOffset>1554480</wp:posOffset>
                </wp:positionV>
                <wp:extent cx="4345305" cy="2633473"/>
                <wp:effectExtent l="0" t="0" r="0" b="0"/>
                <wp:wrapNone/>
                <wp:docPr id="1073741827" name="officeArt object" descr="标题和副标题&#10;&#10;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26334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900"/>
                              <w:rPr>
                                <w:rFonts w:ascii="Helvetica" w:cs="Helvetica" w:hAnsi="Helvetica" w:eastAsia="Helvetica"/>
                                <w:i w:val="1"/>
                                <w:iCs w:val="1"/>
                                <w:caps w:val="1"/>
                                <w:outline w:val="0"/>
                                <w:color w:val="262626"/>
                                <w:sz w:val="120"/>
                                <w:szCs w:val="120"/>
                                <w:u w:color="262626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Assignment design 1.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 xml:space="preserve">Group: </w:t>
                            </w:r>
                            <w:r>
                              <w:rPr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GOAT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93.6pt;margin-top:122.4pt;width:342.1pt;height:207.4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900"/>
                        <w:rPr>
                          <w:rFonts w:ascii="Helvetica" w:cs="Helvetica" w:hAnsi="Helvetica" w:eastAsia="Helvetica"/>
                          <w:i w:val="1"/>
                          <w:iCs w:val="1"/>
                          <w:caps w:val="1"/>
                          <w:outline w:val="0"/>
                          <w:color w:val="262626"/>
                          <w:sz w:val="120"/>
                          <w:szCs w:val="120"/>
                          <w:u w:color="262626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rtl w:val="0"/>
                          <w:lang w:val="en-US"/>
                        </w:rPr>
                        <w:t>Assignment design 1.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sz w:val="72"/>
                          <w:szCs w:val="72"/>
                          <w:rtl w:val="0"/>
                          <w:lang w:val="en-US"/>
                        </w:rPr>
                        <w:t xml:space="preserve">Group: </w:t>
                      </w:r>
                      <w:r>
                        <w:rPr>
                          <w:sz w:val="72"/>
                          <w:szCs w:val="72"/>
                          <w:rtl w:val="0"/>
                          <w:lang w:val="en-US"/>
                        </w:rPr>
                        <w:t>GOAT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Normal.0"/>
        <w:jc w:val="center"/>
      </w:pPr>
      <w:r>
        <w:br w:type="page"/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Deliverables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Report outlining your proposed solution.</w:t>
      </w:r>
    </w:p>
    <w:p>
      <w:pPr>
        <w:pStyle w:val="List Paragraph"/>
        <w:spacing w:after="0" w:line="240" w:lineRule="auto"/>
        <w:ind w:left="360" w:firstLine="0"/>
      </w:pPr>
    </w:p>
    <w:p>
      <w:pPr>
        <w:pStyle w:val="Normal.0"/>
        <w:spacing w:after="0" w:line="240" w:lineRule="auto"/>
      </w:pPr>
      <w:r>
        <w:rPr>
          <w:rtl w:val="0"/>
          <w:lang w:val="en-US"/>
        </w:rPr>
        <w:t>Through the five years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data of graduates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quality of employment, career prospects, subjective evaluation of employers and employers, and objective data of educational impact, to evaluate and   track the growth of all aspects of the graduates within 5 years. The comprehensive feedback learned creates a set of evaluation dimensions for the university education system to measure the performance of university education quality, thus helping to improve the system and serve students.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en-US"/>
        </w:rPr>
        <w:t>The final dashboard will rank the colleges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score from evaluation program.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en-US"/>
        </w:rPr>
        <w:t>Following is our settings of evaluation frame: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jc w:val="center"/>
        <w:rPr>
          <w:outline w:val="0"/>
          <w:color w:val="7f7f7f"/>
          <w:u w:color="7f7f7f"/>
          <w14:textFill>
            <w14:solidFill>
              <w14:srgbClr w14:val="7F7F7F"/>
            </w14:solidFill>
          </w14:textFill>
        </w:rPr>
      </w:pPr>
      <w:r>
        <w:rPr>
          <w:outline w:val="0"/>
          <w:color w:val="7f7f7f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Form1:   dimensions and weights of evaluation</w:t>
      </w:r>
    </w:p>
    <w:tbl>
      <w:tblPr>
        <w:tblW w:w="93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43"/>
        <w:gridCol w:w="1457"/>
        <w:gridCol w:w="1399"/>
        <w:gridCol w:w="5351"/>
      </w:tblGrid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outline w:val="0"/>
                <w:color w:val="ffc000"/>
                <w:sz w:val="20"/>
                <w:szCs w:val="20"/>
                <w:u w:color="ffc000"/>
                <w:rtl w:val="0"/>
                <w:lang w:val="en-US"/>
                <w14:textFill>
                  <w14:solidFill>
                    <w14:srgbClr w14:val="FFC000"/>
                  </w14:solidFill>
                </w14:textFill>
              </w:rPr>
              <w:t>Score type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outline w:val="0"/>
                <w:color w:val="ffc000"/>
                <w:sz w:val="20"/>
                <w:szCs w:val="20"/>
                <w:u w:color="ffc000"/>
                <w:rtl w:val="0"/>
                <w:lang w:val="en-US"/>
                <w14:textFill>
                  <w14:solidFill>
                    <w14:srgbClr w14:val="FFC000"/>
                  </w14:solidFill>
                </w14:textFill>
              </w:rPr>
              <w:t>Score class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outline w:val="0"/>
                <w:color w:val="ffc000"/>
                <w:sz w:val="20"/>
                <w:szCs w:val="20"/>
                <w:u w:color="ffc000"/>
                <w:rtl w:val="0"/>
                <w:lang w:val="en-US"/>
                <w14:textFill>
                  <w14:solidFill>
                    <w14:srgbClr w14:val="FFC000"/>
                  </w14:solidFill>
                </w14:textFill>
              </w:rPr>
              <w:t>Percentage(%)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outline w:val="0"/>
                <w:color w:val="ffc000"/>
                <w:sz w:val="20"/>
                <w:szCs w:val="20"/>
                <w:u w:color="ffc000"/>
                <w:rtl w:val="0"/>
                <w:lang w:val="en-US"/>
                <w14:textFill>
                  <w14:solidFill>
                    <w14:srgbClr w14:val="FFC000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4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outline w:val="0"/>
                <w:color w:val="ed7d31"/>
                <w:sz w:val="20"/>
                <w:szCs w:val="20"/>
                <w:u w:color="ed7d31"/>
                <w:rtl w:val="0"/>
                <w:lang w:val="en-US"/>
                <w14:textFill>
                  <w14:solidFill>
                    <w14:srgbClr w14:val="ED7D31"/>
                  </w14:solidFill>
                </w14:textFill>
              </w:rPr>
              <w:t>Salary and career future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Median annual salary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18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record the medium  number of salary of all students  each year for 5 years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4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100" w:hanging="10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salary Growth rate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Record the salary growth rate of all graduates each year for 5 years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4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Alumni Donation Rate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Total donations from graduates within 5 years</w:t>
            </w:r>
          </w:p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14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Professional career matching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Investigate how many students' current work and professional matches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4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outline w:val="0"/>
                <w:color w:val="ed7d31"/>
                <w:sz w:val="20"/>
                <w:szCs w:val="20"/>
                <w:u w:color="ed7d31"/>
                <w:rtl w:val="0"/>
                <w:lang w:val="en-US"/>
                <w14:textFill>
                  <w14:solidFill>
                    <w14:srgbClr w14:val="ED7D31"/>
                  </w14:solidFill>
                </w14:textFill>
              </w:rPr>
              <w:t>Subjective feedback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Student satisfaction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Graduates' satisfaction with school education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4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Employer's reputation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Feedback from employers on school students' work ability and professional skills</w:t>
            </w:r>
          </w:p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14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outline w:val="0"/>
                <w:color w:val="ed7d31"/>
                <w:sz w:val="20"/>
                <w:szCs w:val="20"/>
                <w:u w:color="ed7d31"/>
                <w:rtl w:val="0"/>
                <w:lang w:val="en-US"/>
                <w14:textFill>
                  <w14:solidFill>
                    <w14:srgbClr w14:val="ED7D31"/>
                  </w14:solidFill>
                </w14:textFill>
              </w:rPr>
              <w:t>Objective feed back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quantity of academic achievements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Number of citations in related fields reached the top 1%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4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academic Impact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percentage among all paper of citations in related fields reached the top 1%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outline w:val="0"/>
          <w:color w:val="7f7f7f"/>
          <w:u w:color="7f7f7f"/>
          <w14:textFill>
            <w14:solidFill>
              <w14:srgbClr w14:val="7F7F7F"/>
            </w14:solidFill>
          </w14:textFill>
        </w:rPr>
      </w:pPr>
    </w:p>
    <w:p>
      <w:pPr>
        <w:pStyle w:val="List Paragraph"/>
        <w:spacing w:after="0" w:line="240" w:lineRule="auto"/>
        <w:ind w:left="360" w:firstLine="0"/>
      </w:pPr>
    </w:p>
    <w:p>
      <w:pPr>
        <w:pStyle w:val="Normal.0"/>
      </w:pPr>
      <w:r>
        <w:br w:type="page"/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>2. Sequence diagrams showing how to navigate the university object model to deliver performance</w:t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>metrics needed for performance and feedback.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231308</wp:posOffset>
            </wp:positionV>
            <wp:extent cx="5943601" cy="760559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echatIMG212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7605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</w:pPr>
      <w:r>
        <w:br w:type="textWrapping"/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>3. An object model showing the changes to the university model to support the new capabilities. This</w:t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>must include the additional methods and attributes required to deliver the results.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-8116</wp:posOffset>
            </wp:positionH>
            <wp:positionV relativeFrom="line">
              <wp:posOffset>667825</wp:posOffset>
            </wp:positionV>
            <wp:extent cx="5943600" cy="554167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bject Model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icrosoft YaHei U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42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