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Documentación de Integración: Catálogos y Selectores en Cascada</w:t>
      </w:r>
    </w:p>
    <w:p>
      <w:pPr>
        <w:pStyle w:val="Heading2"/>
      </w:pPr>
      <w:r>
        <w:t xml:space="preserve">1. Resumen de la Integración</w:t>
      </w:r>
    </w:p>
    <w:p>
      <w:r>
        <w:t xml:space="preserve">Se completó la integración total de los selectores dinámicos para el formulario de Contribuyentes/Propietarios, consumiendo los endpoints de catálogos expuestos por el Backend en .NET y aplicando la lógica reactiva en cascada entre Departamentos y Municipios.</w:t>
      </w:r>
    </w:p>
    <w:p>
      <w:pPr>
        <w:pStyle w:val="Heading2"/>
      </w:pPr>
      <w:r>
        <w:t xml:space="preserve">2. Endpoints Conectados en el Frontend</w:t>
      </w:r>
    </w:p>
    <w:p>
      <w:pPr>
        <w:pStyle w:val="ListParagraph"/>
        <w:numPr>
          <w:ilvl w:val="0"/>
          <w:numId w:val="1"/>
        </w:numPr>
      </w:pPr>
      <w:r>
        <w:t xml:space="preserve">• GET /api/departamentos: Carga la lista completa de departamentos.</w:t>
      </w:r>
    </w:p>
    <w:p>
      <w:pPr>
        <w:pStyle w:val="ListParagraph"/>
        <w:numPr>
          <w:ilvl w:val="0"/>
          <w:numId w:val="1"/>
        </w:numPr>
      </w:pPr>
      <w:r>
        <w:t xml:space="preserve">• GET /api/departamentos/{departamentoId}/ciudades: Consulta las ciudades/municipios correspondientes al departamento seleccionado.</w:t>
      </w:r>
    </w:p>
    <w:p>
      <w:pPr>
        <w:pStyle w:val="ListParagraph"/>
        <w:numPr>
          <w:ilvl w:val="0"/>
          <w:numId w:val="1"/>
        </w:numPr>
      </w:pPr>
      <w:r>
        <w:t xml:space="preserve">• GET /api/catalogo/tipos-documento: Carga los tipos de documento activos (CC, NIT, CE, PA, etc.).</w:t>
      </w:r>
    </w:p>
    <w:p>
      <w:pPr>
        <w:pStyle w:val="ListParagraph"/>
        <w:numPr>
          <w:ilvl w:val="0"/>
          <w:numId w:val="1"/>
        </w:numPr>
      </w:pPr>
      <w:r>
        <w:t xml:space="preserve">• GET /api/catalogo/naturalezas-juridicas: Carga las naturalezas jurídicas (Persona Natural, Persona Jurídica).</w:t>
      </w:r>
    </w:p>
    <w:p>
      <w:pPr>
        <w:pStyle w:val="Heading2"/>
      </w:pPr>
      <w:r>
        <w:t xml:space="preserve">3. Comportamiento y Reglas de Negocio en la Interfaz</w:t>
      </w:r>
    </w:p>
    <w:p>
      <w:pPr>
        <w:pStyle w:val="ListParagraph"/>
        <w:numPr>
          <w:ilvl w:val="0"/>
          <w:numId w:val="1"/>
        </w:numPr>
      </w:pPr>
      <w:r>
        <w:t xml:space="preserve">• Carga Inicial: Al inicializar el formulario, se ejecutan las consultas a Departamentos, Tipos de Documento y Naturalezas Jurídicas en paralelo mediante forkJoin en el Facade.</w:t>
      </w:r>
    </w:p>
    <w:p>
      <w:pPr>
        <w:pStyle w:val="ListParagraph"/>
        <w:numPr>
          <w:ilvl w:val="0"/>
          <w:numId w:val="1"/>
        </w:numPr>
      </w:pPr>
      <w:r>
        <w:t xml:space="preserve">• Selector de Municipios en Cascada: El combo de Municipios inicia vacío y deshabilitado (disabled). Al seleccionar un Departamento, se habilita inmediatamente y se consultan sus municipios específicos.</w:t>
      </w:r>
    </w:p>
    <w:p>
      <w:pPr>
        <w:pStyle w:val="ListParagraph"/>
        <w:numPr>
          <w:ilvl w:val="0"/>
          <w:numId w:val="1"/>
        </w:numPr>
      </w:pPr>
      <w:r>
        <w:t xml:space="preserve">• Reseteo Seguro: Si se deselecciona o limpia el departamento, el selector de municipios se reinicia y se vuelve a deshabilitar.</w:t>
      </w:r>
    </w:p>
    <w:p>
      <w:pPr>
        <w:pStyle w:val="ListParagraph"/>
        <w:numPr>
          <w:ilvl w:val="0"/>
          <w:numId w:val="1"/>
        </w:numPr>
      </w:pPr>
      <w:r>
        <w:t xml:space="preserve">• Modo Edición: Cuando se edita un contribuyente existente, se preseleccionan sus valores guardados, se habilita el municipio y se consultan las ciudades de su departamento.</w:t>
      </w:r>
    </w:p>
    <w:p>
      <w:pPr>
        <w:pStyle w:val="Heading2"/>
      </w:pPr>
      <w:r>
        <w:t xml:space="preserve">4. Estructura del Payload Enviado (POST / PUT)</w:t>
      </w:r>
    </w:p>
    <w:p>
      <w:r>
        <w:t xml:space="preserve">Al enviar la información a POST /api/propietarios o PUT /api/propietarios/{id}, el formulario emite el payload normalizado:</w:t>
      </w:r>
    </w:p>
    <w:p>
      <w:r>
        <w:t xml:space="preserve">{
  "tipoDocumentoId": 1,
  "numeroDocumento": "1061789456",
  "digitoVerificacion": null,
  "naturalezaJuridicaId": 1,
  "primerNombre": "Carlos",
  "primerApellido": "Pérez",
  "correoElectronico": "carlos@email.com",
  "telefono": "3123456789",
  "direccion": "Calle 5 # 10-20",
  "departamentoId": 19,
  "ciudadId": 19001,
  "ciudad": "Popayán",
  "activo": true
}</w:t>
      </w:r>
    </w:p>
    <w:p>
      <w:pPr>
        <w:pStyle w:val="Heading2"/>
      </w:pPr>
      <w:r>
        <w:t xml:space="preserve">5. Archivos Modificados</w:t>
      </w:r>
    </w:p>
    <w:p>
      <w:pPr>
        <w:pStyle w:val="ListParagraph"/>
        <w:numPr>
          <w:ilvl w:val="0"/>
          <w:numId w:val="1"/>
        </w:numPr>
      </w:pPr>
      <w:r>
        <w:t xml:space="preserve">• src/app/core/services/base-api.service.ts (Normalización de rutas con prefijo /api)</w:t>
      </w:r>
    </w:p>
    <w:p>
      <w:pPr>
        <w:pStyle w:val="ListParagraph"/>
        <w:numPr>
          <w:ilvl w:val="0"/>
          <w:numId w:val="1"/>
        </w:numPr>
      </w:pPr>
      <w:r>
        <w:t xml:space="preserve">• src/app/features/automotores/domain/models/contribuyente.model.ts (Tipos de Documento, Naturalezas, Departamentos y Ciudades)</w:t>
      </w:r>
    </w:p>
    <w:p>
      <w:pPr>
        <w:pStyle w:val="ListParagraph"/>
        <w:numPr>
          <w:ilvl w:val="0"/>
          <w:numId w:val="1"/>
        </w:numPr>
      </w:pPr>
      <w:r>
        <w:t xml:space="preserve">• src/app/features/automotores/application/facades/contribuyentes.facade.ts (Gestión centralizada de catálogos y Signals reactivos)</w:t>
      </w:r>
    </w:p>
    <w:p>
      <w:pPr>
        <w:pStyle w:val="ListParagraph"/>
        <w:numPr>
          <w:ilvl w:val="0"/>
          <w:numId w:val="1"/>
        </w:numPr>
      </w:pPr>
      <w:r>
        <w:t xml:space="preserve">• src/app/features/automotores/presentation/components/contribuyente-form/contribuyente-form.component.ts (Lógica de cascada y suscripción)</w:t>
      </w:r>
    </w:p>
    <w:p>
      <w:pPr>
        <w:pStyle w:val="ListParagraph"/>
        <w:numPr>
          <w:ilvl w:val="0"/>
          <w:numId w:val="1"/>
        </w:numPr>
      </w:pPr>
      <w:r>
        <w:t xml:space="preserve">• src/app/features/automotores/presentation/components/contribuyente-form/contribuyente-form.html (Selectores estilizados y responsivos)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2026-08-13T21:07:13.525Z</dcterms:created>
  <dcterms:modified xsi:type="dcterms:W3CDTF">2026-08-13T21:07:13.525Z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