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DAA226">
      <w:pPr>
        <w:numPr>
          <w:ilvl w:val="0"/>
          <w:numId w:val="0"/>
        </w:numPr>
        <w:spacing w:line="360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项目章程如下表所示：</w:t>
      </w:r>
    </w:p>
    <w:tbl>
      <w:tblPr>
        <w:tblStyle w:val="5"/>
        <w:tblW w:w="8160" w:type="dxa"/>
        <w:tblInd w:w="6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"/>
        <w:gridCol w:w="1476"/>
        <w:gridCol w:w="1812"/>
        <w:gridCol w:w="1620"/>
        <w:gridCol w:w="2820"/>
      </w:tblGrid>
      <w:tr w14:paraId="108308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gridSpan w:val="2"/>
            <w:noWrap w:val="0"/>
            <w:vAlign w:val="center"/>
          </w:tcPr>
          <w:p w14:paraId="3F809ADE">
            <w:pPr>
              <w:spacing w:line="360" w:lineRule="auto"/>
              <w:jc w:val="both"/>
              <w:rPr>
                <w:rFonts w:hint="default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6252" w:type="dxa"/>
            <w:gridSpan w:val="3"/>
            <w:noWrap w:val="0"/>
            <w:vAlign w:val="top"/>
          </w:tcPr>
          <w:p w14:paraId="40663E79">
            <w:pPr>
              <w:spacing w:line="360" w:lineRule="auto"/>
              <w:rPr>
                <w:rFonts w:hint="default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广东药科大学内控管理信息系统采购项目</w:t>
            </w:r>
          </w:p>
        </w:tc>
      </w:tr>
      <w:tr w14:paraId="317E27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gridSpan w:val="2"/>
            <w:noWrap w:val="0"/>
            <w:vAlign w:val="center"/>
          </w:tcPr>
          <w:p w14:paraId="07A54EAE">
            <w:pPr>
              <w:spacing w:line="360" w:lineRule="auto"/>
              <w:jc w:val="both"/>
              <w:rPr>
                <w:rFonts w:hint="default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vertAlign w:val="baseline"/>
                <w:lang w:val="en-US" w:eastAsia="zh-CN"/>
              </w:rPr>
              <w:t>项目编号</w:t>
            </w:r>
          </w:p>
        </w:tc>
        <w:tc>
          <w:tcPr>
            <w:tcW w:w="6252" w:type="dxa"/>
            <w:gridSpan w:val="3"/>
            <w:noWrap w:val="0"/>
            <w:vAlign w:val="top"/>
          </w:tcPr>
          <w:p w14:paraId="775876A2"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</w:rPr>
            </w:pPr>
            <w:r>
              <w:rPr>
                <w:rFonts w:hint="eastAsia" w:ascii="宋体" w:hAnsi="宋体"/>
                <w:szCs w:val="21"/>
                <w:vertAlign w:val="baseline"/>
              </w:rPr>
              <w:t>0877-24GZTP4XE0562</w:t>
            </w:r>
          </w:p>
        </w:tc>
      </w:tr>
      <w:tr w14:paraId="3070EC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08" w:type="dxa"/>
            <w:gridSpan w:val="2"/>
            <w:noWrap w:val="0"/>
            <w:vAlign w:val="center"/>
          </w:tcPr>
          <w:p w14:paraId="7C0008CF">
            <w:pPr>
              <w:spacing w:line="360" w:lineRule="auto"/>
              <w:jc w:val="both"/>
              <w:rPr>
                <w:rFonts w:hint="default" w:ascii="宋体" w:hAnsi="宋体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6252" w:type="dxa"/>
            <w:gridSpan w:val="3"/>
            <w:noWrap w:val="0"/>
            <w:vAlign w:val="top"/>
          </w:tcPr>
          <w:p w14:paraId="1F6FE782">
            <w:pPr>
              <w:spacing w:line="360" w:lineRule="auto"/>
              <w:rPr>
                <w:rFonts w:hint="default" w:ascii="宋体" w:hAnsi="宋体"/>
                <w:szCs w:val="21"/>
                <w:vertAlign w:val="baseline"/>
                <w:lang w:val="en-US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郭景镔，Guojingbin@abc.com</w:t>
            </w:r>
          </w:p>
        </w:tc>
      </w:tr>
      <w:tr w14:paraId="04CACF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08" w:type="dxa"/>
            <w:gridSpan w:val="2"/>
            <w:noWrap w:val="0"/>
            <w:vAlign w:val="center"/>
          </w:tcPr>
          <w:p w14:paraId="38351FA3">
            <w:pPr>
              <w:spacing w:line="360" w:lineRule="auto"/>
              <w:jc w:val="both"/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vertAlign w:val="baseline"/>
                <w:lang w:val="en-US" w:eastAsia="zh-CN"/>
              </w:rPr>
              <w:t>采购人</w:t>
            </w:r>
          </w:p>
        </w:tc>
        <w:tc>
          <w:tcPr>
            <w:tcW w:w="1812" w:type="dxa"/>
            <w:noWrap w:val="0"/>
            <w:vAlign w:val="top"/>
          </w:tcPr>
          <w:p w14:paraId="0A9BCE6D">
            <w:pPr>
              <w:spacing w:line="360" w:lineRule="auto"/>
              <w:rPr>
                <w:rFonts w:hint="default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广东药科大学</w:t>
            </w:r>
          </w:p>
        </w:tc>
        <w:tc>
          <w:tcPr>
            <w:tcW w:w="1620" w:type="dxa"/>
            <w:noWrap w:val="0"/>
            <w:vAlign w:val="top"/>
          </w:tcPr>
          <w:p w14:paraId="3194ED74">
            <w:pPr>
              <w:spacing w:line="360" w:lineRule="auto"/>
              <w:rPr>
                <w:rFonts w:hint="default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vertAlign w:val="baseline"/>
                <w:lang w:val="en-US" w:eastAsia="zh-CN"/>
              </w:rPr>
              <w:t>采购代理机构</w:t>
            </w:r>
          </w:p>
        </w:tc>
        <w:tc>
          <w:tcPr>
            <w:tcW w:w="2820" w:type="dxa"/>
            <w:noWrap w:val="0"/>
            <w:vAlign w:val="top"/>
          </w:tcPr>
          <w:p w14:paraId="61533197"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</w:rPr>
            </w:pPr>
            <w:r>
              <w:rPr>
                <w:rFonts w:hint="eastAsia" w:ascii="宋体" w:hAnsi="宋体"/>
                <w:szCs w:val="21"/>
                <w:vertAlign w:val="baseline"/>
              </w:rPr>
              <w:t>广东广招招标采购有限公司</w:t>
            </w:r>
          </w:p>
        </w:tc>
      </w:tr>
      <w:tr w14:paraId="3C5506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gridSpan w:val="2"/>
            <w:noWrap w:val="0"/>
            <w:vAlign w:val="center"/>
          </w:tcPr>
          <w:p w14:paraId="7F483C75">
            <w:pPr>
              <w:spacing w:line="360" w:lineRule="auto"/>
              <w:jc w:val="both"/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vertAlign w:val="baseline"/>
                <w:lang w:val="en-US" w:eastAsia="zh-CN"/>
              </w:rPr>
              <w:t>项目背景</w:t>
            </w:r>
          </w:p>
        </w:tc>
        <w:tc>
          <w:tcPr>
            <w:tcW w:w="6252" w:type="dxa"/>
            <w:gridSpan w:val="3"/>
            <w:noWrap w:val="0"/>
            <w:vAlign w:val="top"/>
          </w:tcPr>
          <w:p w14:paraId="350AA3AB">
            <w:pPr>
              <w:spacing w:line="360" w:lineRule="auto"/>
              <w:rPr>
                <w:rFonts w:hint="default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</w:rPr>
              <w:t>为提升学校内控管理水平，构建高效、规范的内控管理体系，决定采购内控管理信息系统</w:t>
            </w:r>
          </w:p>
        </w:tc>
      </w:tr>
      <w:tr w14:paraId="3E3A4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gridSpan w:val="2"/>
            <w:noWrap w:val="0"/>
            <w:vAlign w:val="center"/>
          </w:tcPr>
          <w:p w14:paraId="16EB8F20">
            <w:pPr>
              <w:spacing w:line="360" w:lineRule="auto"/>
              <w:jc w:val="both"/>
              <w:rPr>
                <w:rFonts w:hint="eastAsia" w:ascii="宋体" w:hAnsi="宋体"/>
                <w:b/>
                <w:bCs/>
                <w:szCs w:val="21"/>
                <w:vertAlign w:val="baseline"/>
                <w:lang w:val="en-US" w:eastAsia="zh-CN"/>
              </w:rPr>
            </w:pPr>
          </w:p>
          <w:p w14:paraId="0036FC73">
            <w:pPr>
              <w:spacing w:line="360" w:lineRule="auto"/>
              <w:jc w:val="both"/>
              <w:rPr>
                <w:rFonts w:hint="eastAsia" w:ascii="宋体" w:hAnsi="宋体"/>
                <w:b/>
                <w:bCs/>
                <w:szCs w:val="21"/>
                <w:vertAlign w:val="baseline"/>
                <w:lang w:val="en-US" w:eastAsia="zh-CN"/>
              </w:rPr>
            </w:pPr>
          </w:p>
          <w:p w14:paraId="508150B3">
            <w:pPr>
              <w:spacing w:line="360" w:lineRule="auto"/>
              <w:jc w:val="both"/>
              <w:rPr>
                <w:rFonts w:hint="eastAsia" w:ascii="宋体" w:hAnsi="宋体"/>
                <w:b/>
                <w:bCs/>
                <w:szCs w:val="21"/>
                <w:vertAlign w:val="baseline"/>
                <w:lang w:val="en-US" w:eastAsia="zh-CN"/>
              </w:rPr>
            </w:pPr>
          </w:p>
          <w:p w14:paraId="151D5291">
            <w:pPr>
              <w:spacing w:line="360" w:lineRule="auto"/>
              <w:jc w:val="both"/>
              <w:rPr>
                <w:rFonts w:hint="default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vertAlign w:val="baseline"/>
                <w:lang w:val="en-US" w:eastAsia="zh-CN"/>
              </w:rPr>
              <w:t>项目目标</w:t>
            </w:r>
          </w:p>
        </w:tc>
        <w:tc>
          <w:tcPr>
            <w:tcW w:w="6252" w:type="dxa"/>
            <w:gridSpan w:val="3"/>
            <w:noWrap w:val="0"/>
            <w:vAlign w:val="top"/>
          </w:tcPr>
          <w:p w14:paraId="4079F06F">
            <w:pPr>
              <w:spacing w:line="360" w:lineRule="auto"/>
              <w:rPr>
                <w:rFonts w:hint="eastAsia" w:ascii="宋体" w:hAnsi="宋体" w:eastAsia="宋体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</w:rPr>
              <w:t>1. 构建内控风险指标体系和预警提醒机制</w:t>
            </w:r>
          </w:p>
          <w:p w14:paraId="3653B2FF">
            <w:pPr>
              <w:spacing w:line="360" w:lineRule="auto"/>
              <w:rPr>
                <w:rFonts w:hint="eastAsia" w:ascii="宋体" w:hAnsi="宋体" w:eastAsia="宋体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</w:rPr>
              <w:t>2. 实现各类数据的互相关联</w:t>
            </w:r>
          </w:p>
          <w:p w14:paraId="3A9ADBBA"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</w:rPr>
              <w:t>3. 建立内控风险评价体系</w:t>
            </w:r>
          </w:p>
          <w:p w14:paraId="563F66D2"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</w:rPr>
            </w:pPr>
            <w:r>
              <w:rPr>
                <w:rFonts w:hint="eastAsia" w:ascii="宋体" w:hAnsi="宋体"/>
                <w:szCs w:val="21"/>
                <w:vertAlign w:val="baseline"/>
              </w:rPr>
              <w:t>4. 建立风险在线反馈处理机制</w:t>
            </w:r>
          </w:p>
          <w:p w14:paraId="2EAC25CE"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5</w:t>
            </w:r>
            <w:r>
              <w:rPr>
                <w:rFonts w:hint="eastAsia" w:ascii="宋体" w:hAnsi="宋体"/>
                <w:szCs w:val="21"/>
                <w:vertAlign w:val="baseline"/>
              </w:rPr>
              <w:t>. 实现数据共享及授权查询服务</w:t>
            </w:r>
          </w:p>
          <w:p w14:paraId="4B95D107"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6</w:t>
            </w:r>
            <w:r>
              <w:rPr>
                <w:rFonts w:hint="eastAsia" w:ascii="宋体" w:hAnsi="宋体"/>
                <w:szCs w:val="21"/>
                <w:vertAlign w:val="baseline"/>
              </w:rPr>
              <w:t xml:space="preserve">.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提供辅助数据采集功能</w:t>
            </w:r>
          </w:p>
          <w:p w14:paraId="7E9FC71C"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7</w:t>
            </w:r>
            <w:r>
              <w:rPr>
                <w:rFonts w:hint="eastAsia" w:ascii="宋体" w:hAnsi="宋体"/>
                <w:szCs w:val="21"/>
                <w:vertAlign w:val="baseline"/>
              </w:rPr>
              <w:t xml:space="preserve">.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提供风险评估报告</w:t>
            </w:r>
          </w:p>
          <w:p w14:paraId="605179AF"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8</w:t>
            </w:r>
            <w:r>
              <w:rPr>
                <w:rFonts w:hint="eastAsia" w:ascii="宋体" w:hAnsi="宋体"/>
                <w:szCs w:val="21"/>
                <w:vertAlign w:val="baseline"/>
              </w:rPr>
              <w:t xml:space="preserve">.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建设经济活动业务系统内控管理体系</w:t>
            </w:r>
          </w:p>
        </w:tc>
      </w:tr>
      <w:tr w14:paraId="199278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gridSpan w:val="2"/>
            <w:noWrap w:val="0"/>
            <w:vAlign w:val="center"/>
          </w:tcPr>
          <w:p w14:paraId="74F3303F">
            <w:pPr>
              <w:spacing w:line="360" w:lineRule="auto"/>
              <w:jc w:val="both"/>
              <w:rPr>
                <w:rFonts w:hint="default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vertAlign w:val="baseline"/>
                <w:lang w:val="en-US" w:eastAsia="zh-CN"/>
              </w:rPr>
              <w:t>项目时间计划</w:t>
            </w:r>
          </w:p>
        </w:tc>
        <w:tc>
          <w:tcPr>
            <w:tcW w:w="6252" w:type="dxa"/>
            <w:gridSpan w:val="3"/>
            <w:noWrap w:val="0"/>
            <w:vAlign w:val="top"/>
          </w:tcPr>
          <w:p w14:paraId="104945BB"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</w:rPr>
            </w:pPr>
            <w:r>
              <w:rPr>
                <w:rFonts w:hint="eastAsia" w:ascii="宋体" w:hAnsi="宋体"/>
                <w:szCs w:val="21"/>
                <w:vertAlign w:val="baseline"/>
              </w:rPr>
              <w:t>合同签订后480日内完成整个项目的开发、实施、试运行、运维、培训、正式使用、验收等全过程的工作。</w:t>
            </w:r>
          </w:p>
        </w:tc>
      </w:tr>
      <w:tr w14:paraId="14A538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432" w:type="dxa"/>
            <w:vMerge w:val="restart"/>
            <w:noWrap w:val="0"/>
            <w:vAlign w:val="center"/>
          </w:tcPr>
          <w:p w14:paraId="12BDEDB1">
            <w:pPr>
              <w:spacing w:line="360" w:lineRule="auto"/>
              <w:jc w:val="both"/>
              <w:rPr>
                <w:rFonts w:hint="default" w:ascii="宋体" w:hAnsi="宋体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vertAlign w:val="baseline"/>
                <w:lang w:val="en-US" w:eastAsia="zh-CN"/>
              </w:rPr>
              <w:t>项目需求</w:t>
            </w:r>
          </w:p>
        </w:tc>
        <w:tc>
          <w:tcPr>
            <w:tcW w:w="1476" w:type="dxa"/>
            <w:noWrap w:val="0"/>
            <w:vAlign w:val="center"/>
          </w:tcPr>
          <w:p w14:paraId="3B20F4BD">
            <w:pPr>
              <w:spacing w:line="360" w:lineRule="auto"/>
              <w:jc w:val="both"/>
              <w:rPr>
                <w:rFonts w:hint="default" w:ascii="宋体" w:hAnsi="宋体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b w:val="0"/>
                <w:bCs w:val="0"/>
                <w:szCs w:val="21"/>
                <w:vertAlign w:val="baseline"/>
                <w:lang w:val="en-US" w:eastAsia="zh-CN"/>
              </w:rPr>
              <w:t>系统功能需求</w:t>
            </w:r>
          </w:p>
        </w:tc>
        <w:tc>
          <w:tcPr>
            <w:tcW w:w="6252" w:type="dxa"/>
            <w:gridSpan w:val="3"/>
            <w:noWrap w:val="0"/>
            <w:vAlign w:val="top"/>
          </w:tcPr>
          <w:p w14:paraId="75893214"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</w:rPr>
            </w:pPr>
            <w:r>
              <w:rPr>
                <w:rFonts w:hint="eastAsia" w:ascii="宋体" w:hAnsi="宋体"/>
                <w:szCs w:val="21"/>
                <w:vertAlign w:val="baseline"/>
              </w:rPr>
              <w:t>包括但不限于内控风险指标体系、数据互相关联、风险评价、风险反馈处理、数据共享、数据采集、风险评估报告、经济活动业务系统等</w:t>
            </w:r>
          </w:p>
        </w:tc>
      </w:tr>
      <w:tr w14:paraId="428CFA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432" w:type="dxa"/>
            <w:vMerge w:val="continue"/>
            <w:noWrap w:val="0"/>
            <w:vAlign w:val="center"/>
          </w:tcPr>
          <w:p w14:paraId="010AE8F9">
            <w:pPr>
              <w:spacing w:line="360" w:lineRule="auto"/>
              <w:jc w:val="both"/>
            </w:pPr>
          </w:p>
        </w:tc>
        <w:tc>
          <w:tcPr>
            <w:tcW w:w="1476" w:type="dxa"/>
            <w:noWrap w:val="0"/>
            <w:vAlign w:val="center"/>
          </w:tcPr>
          <w:p w14:paraId="7B1B7336">
            <w:pPr>
              <w:spacing w:line="36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 w:ascii="宋体" w:hAnsi="宋体"/>
                <w:b w:val="0"/>
                <w:bCs w:val="0"/>
                <w:szCs w:val="21"/>
                <w:vertAlign w:val="baseline"/>
                <w:lang w:val="en-US" w:eastAsia="zh-CN"/>
              </w:rPr>
              <w:t>系统性能</w:t>
            </w:r>
            <w:r>
              <w:rPr>
                <w:rFonts w:hint="eastAsia" w:ascii="宋体" w:hAnsi="宋体"/>
                <w:b w:val="0"/>
                <w:bCs w:val="0"/>
                <w:szCs w:val="21"/>
                <w:vertAlign w:val="baseline"/>
                <w:lang w:val="en-US" w:eastAsia="zh-CN"/>
              </w:rPr>
              <w:t>需</w:t>
            </w:r>
            <w:r>
              <w:rPr>
                <w:rFonts w:hint="default" w:ascii="宋体" w:hAnsi="宋体"/>
                <w:b w:val="0"/>
                <w:bCs w:val="0"/>
                <w:szCs w:val="21"/>
                <w:vertAlign w:val="baseline"/>
                <w:lang w:val="en-US" w:eastAsia="zh-CN"/>
              </w:rPr>
              <w:t>求</w:t>
            </w:r>
          </w:p>
        </w:tc>
        <w:tc>
          <w:tcPr>
            <w:tcW w:w="6252" w:type="dxa"/>
            <w:gridSpan w:val="3"/>
            <w:noWrap w:val="0"/>
            <w:vAlign w:val="top"/>
          </w:tcPr>
          <w:p w14:paraId="60DFD8EC">
            <w:pPr>
              <w:spacing w:line="360" w:lineRule="auto"/>
              <w:rPr>
                <w:rFonts w:hint="default" w:ascii="宋体" w:hAnsi="宋体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b w:val="0"/>
                <w:bCs w:val="0"/>
                <w:szCs w:val="21"/>
                <w:vertAlign w:val="baseline"/>
                <w:lang w:val="en-US" w:eastAsia="zh-CN"/>
              </w:rPr>
              <w:t>满足安全性、性能要求，确保系统稳定运行</w:t>
            </w:r>
          </w:p>
        </w:tc>
      </w:tr>
      <w:tr w14:paraId="776A06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432" w:type="dxa"/>
            <w:vMerge w:val="continue"/>
            <w:noWrap w:val="0"/>
            <w:vAlign w:val="center"/>
          </w:tcPr>
          <w:p w14:paraId="0CCCE83E">
            <w:pPr>
              <w:spacing w:line="360" w:lineRule="auto"/>
              <w:jc w:val="both"/>
              <w:rPr>
                <w:rFonts w:hint="default" w:ascii="宋体" w:hAnsi="宋体"/>
                <w:b/>
                <w:bCs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76" w:type="dxa"/>
            <w:noWrap w:val="0"/>
            <w:vAlign w:val="center"/>
          </w:tcPr>
          <w:p w14:paraId="4C1E9C1E">
            <w:pPr>
              <w:spacing w:line="360" w:lineRule="auto"/>
              <w:jc w:val="both"/>
              <w:rPr>
                <w:rFonts w:hint="default" w:ascii="宋体" w:hAnsi="宋体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b w:val="0"/>
                <w:bCs w:val="0"/>
                <w:szCs w:val="21"/>
                <w:vertAlign w:val="baseline"/>
                <w:lang w:val="en-US" w:eastAsia="zh-CN"/>
              </w:rPr>
              <w:t>售后服务</w:t>
            </w:r>
          </w:p>
        </w:tc>
        <w:tc>
          <w:tcPr>
            <w:tcW w:w="6252" w:type="dxa"/>
            <w:gridSpan w:val="3"/>
            <w:noWrap w:val="0"/>
            <w:vAlign w:val="top"/>
          </w:tcPr>
          <w:p w14:paraId="2C9F3899">
            <w:pPr>
              <w:spacing w:line="360" w:lineRule="auto"/>
              <w:rPr>
                <w:rFonts w:hint="default" w:ascii="宋体" w:hAnsi="宋体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b w:val="0"/>
                <w:bCs w:val="0"/>
                <w:szCs w:val="21"/>
                <w:vertAlign w:val="baseline"/>
                <w:lang w:val="en-US" w:eastAsia="zh-CN"/>
              </w:rPr>
              <w:t>包括软件安装、调试、培训、质保期服务等</w:t>
            </w:r>
          </w:p>
        </w:tc>
      </w:tr>
      <w:tr w14:paraId="13A4E0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gridSpan w:val="2"/>
            <w:noWrap w:val="0"/>
            <w:vAlign w:val="center"/>
          </w:tcPr>
          <w:p w14:paraId="1431BDCA">
            <w:pPr>
              <w:spacing w:line="360" w:lineRule="auto"/>
              <w:jc w:val="both"/>
              <w:rPr>
                <w:rFonts w:hint="eastAsia" w:ascii="宋体" w:hAnsi="宋体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vertAlign w:val="baseline"/>
                <w:lang w:val="en-US" w:eastAsia="zh-CN"/>
              </w:rPr>
              <w:t>项目风险</w:t>
            </w:r>
          </w:p>
        </w:tc>
        <w:tc>
          <w:tcPr>
            <w:tcW w:w="6252" w:type="dxa"/>
            <w:gridSpan w:val="3"/>
            <w:noWrap w:val="0"/>
            <w:vAlign w:val="top"/>
          </w:tcPr>
          <w:p w14:paraId="562DC907"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</w:rPr>
            </w:pPr>
            <w:r>
              <w:rPr>
                <w:rFonts w:hint="eastAsia" w:ascii="宋体" w:hAnsi="宋体"/>
                <w:szCs w:val="21"/>
                <w:vertAlign w:val="baseline"/>
              </w:rPr>
              <w:t>1. 技术风险：技术难度高，开发周期可能延长</w:t>
            </w:r>
          </w:p>
          <w:p w14:paraId="6A6D31DF"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</w:rPr>
            </w:pPr>
            <w:r>
              <w:rPr>
                <w:rFonts w:hint="eastAsia" w:ascii="宋体" w:hAnsi="宋体"/>
                <w:szCs w:val="21"/>
                <w:vertAlign w:val="baseline"/>
              </w:rPr>
              <w:t>2. 需求变更风险：客户需求变更可能导致项目延期或成本增加</w:t>
            </w:r>
          </w:p>
          <w:p w14:paraId="6F0E2FDF"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</w:rPr>
            </w:pPr>
            <w:r>
              <w:rPr>
                <w:rFonts w:hint="eastAsia" w:ascii="宋体" w:hAnsi="宋体"/>
                <w:szCs w:val="21"/>
                <w:vertAlign w:val="baseline"/>
              </w:rPr>
              <w:t>3. 安全风险：系统可能存在安全漏洞</w:t>
            </w:r>
          </w:p>
          <w:p w14:paraId="27873FF3"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4</w:t>
            </w:r>
            <w:r>
              <w:rPr>
                <w:rFonts w:hint="eastAsia" w:ascii="宋体" w:hAnsi="宋体"/>
                <w:szCs w:val="21"/>
                <w:vertAlign w:val="baseline"/>
              </w:rPr>
              <w:t>. 集成风险：与其他系统对接时可能出现兼容性问题</w:t>
            </w:r>
          </w:p>
          <w:p w14:paraId="0B0070F2"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5</w:t>
            </w:r>
            <w:r>
              <w:rPr>
                <w:rFonts w:hint="eastAsia" w:ascii="宋体" w:hAnsi="宋体"/>
                <w:szCs w:val="21"/>
                <w:vertAlign w:val="baseline"/>
              </w:rPr>
              <w:t>. 人员风险：核心开发人员流失可能影响项目进度</w:t>
            </w:r>
          </w:p>
        </w:tc>
      </w:tr>
      <w:tr w14:paraId="4C720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gridSpan w:val="2"/>
            <w:noWrap w:val="0"/>
            <w:vAlign w:val="center"/>
          </w:tcPr>
          <w:p w14:paraId="6186B5ED">
            <w:pPr>
              <w:spacing w:line="360" w:lineRule="auto"/>
              <w:jc w:val="both"/>
              <w:rPr>
                <w:rFonts w:hint="eastAsia" w:ascii="宋体" w:hAnsi="宋体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vertAlign w:val="baseline"/>
                <w:lang w:val="en-US" w:eastAsia="zh-CN"/>
              </w:rPr>
              <w:t>项目沟通机制</w:t>
            </w:r>
          </w:p>
        </w:tc>
        <w:tc>
          <w:tcPr>
            <w:tcW w:w="6252" w:type="dxa"/>
            <w:gridSpan w:val="3"/>
            <w:noWrap w:val="0"/>
            <w:vAlign w:val="top"/>
          </w:tcPr>
          <w:p w14:paraId="6BF9CE1A"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/>
                <w:szCs w:val="21"/>
                <w:vertAlign w:val="baseline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1.</w:t>
            </w:r>
            <w:r>
              <w:rPr>
                <w:rFonts w:hint="eastAsia" w:ascii="宋体" w:hAnsi="宋体"/>
                <w:szCs w:val="21"/>
                <w:vertAlign w:val="baseline"/>
              </w:rPr>
              <w:t>沟通方式</w:t>
            </w: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为</w:t>
            </w:r>
            <w:r>
              <w:rPr>
                <w:rFonts w:hint="eastAsia" w:ascii="宋体" w:hAnsi="宋体"/>
                <w:szCs w:val="21"/>
                <w:vertAlign w:val="baseline"/>
              </w:rPr>
              <w:t>定期会议、邮件、电话等</w:t>
            </w:r>
          </w:p>
          <w:p w14:paraId="7C47DF41"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2.</w:t>
            </w:r>
            <w:r>
              <w:rPr>
                <w:rFonts w:hint="eastAsia" w:ascii="宋体" w:hAnsi="宋体"/>
                <w:szCs w:val="21"/>
                <w:vertAlign w:val="baseline"/>
              </w:rPr>
              <w:t>沟通</w:t>
            </w: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内容</w:t>
            </w:r>
            <w:r>
              <w:rPr>
                <w:rFonts w:hint="eastAsia"/>
                <w:lang w:val="en-US" w:eastAsia="zh-CN"/>
              </w:rPr>
              <w:t>包括</w:t>
            </w:r>
            <w:r>
              <w:rPr>
                <w:rFonts w:hint="eastAsia"/>
              </w:rPr>
              <w:t>项目进度、问题反馈、解决方案等</w:t>
            </w:r>
          </w:p>
        </w:tc>
      </w:tr>
      <w:tr w14:paraId="2E5202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gridSpan w:val="2"/>
            <w:noWrap w:val="0"/>
            <w:vAlign w:val="center"/>
          </w:tcPr>
          <w:p w14:paraId="0E336FAB">
            <w:pPr>
              <w:spacing w:line="360" w:lineRule="auto"/>
              <w:jc w:val="both"/>
              <w:rPr>
                <w:rFonts w:hint="eastAsia" w:ascii="宋体" w:hAnsi="宋体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vertAlign w:val="baseline"/>
                <w:lang w:val="en-US" w:eastAsia="zh-CN"/>
              </w:rPr>
              <w:t>项目验收标准</w:t>
            </w:r>
          </w:p>
        </w:tc>
        <w:tc>
          <w:tcPr>
            <w:tcW w:w="6252" w:type="dxa"/>
            <w:gridSpan w:val="3"/>
            <w:noWrap w:val="0"/>
            <w:vAlign w:val="top"/>
          </w:tcPr>
          <w:p w14:paraId="74341194"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</w:rPr>
            </w:pPr>
            <w:r>
              <w:rPr>
                <w:rFonts w:hint="eastAsia" w:ascii="宋体" w:hAnsi="宋体"/>
                <w:szCs w:val="21"/>
                <w:vertAlign w:val="baseline"/>
              </w:rPr>
              <w:t>中标人必须提供完整的项目文档，确保系统性能和功能达到投标文件承诺，通过试运行和等保测评</w:t>
            </w:r>
          </w:p>
        </w:tc>
      </w:tr>
      <w:tr w14:paraId="6B8EB9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gridSpan w:val="2"/>
            <w:noWrap w:val="0"/>
            <w:vAlign w:val="center"/>
          </w:tcPr>
          <w:p w14:paraId="584B783A">
            <w:pPr>
              <w:spacing w:line="360" w:lineRule="auto"/>
              <w:jc w:val="both"/>
              <w:rPr>
                <w:rFonts w:hint="eastAsia" w:ascii="宋体" w:hAnsi="宋体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vertAlign w:val="baseline"/>
                <w:lang w:val="en-US" w:eastAsia="zh-CN"/>
              </w:rPr>
              <w:t>项目验收与交付</w:t>
            </w:r>
          </w:p>
        </w:tc>
        <w:tc>
          <w:tcPr>
            <w:tcW w:w="6252" w:type="dxa"/>
            <w:gridSpan w:val="3"/>
            <w:noWrap w:val="0"/>
            <w:vAlign w:val="top"/>
          </w:tcPr>
          <w:p w14:paraId="70C20EBC"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</w:rPr>
            </w:pPr>
            <w:r>
              <w:rPr>
                <w:rFonts w:hint="eastAsia" w:ascii="宋体" w:hAnsi="宋体"/>
                <w:szCs w:val="21"/>
                <w:vertAlign w:val="baseline"/>
              </w:rPr>
              <w:t>1.验收流程</w:t>
            </w: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为</w:t>
            </w:r>
            <w:r>
              <w:rPr>
                <w:rFonts w:hint="eastAsia" w:ascii="宋体" w:hAnsi="宋体"/>
                <w:szCs w:val="21"/>
                <w:vertAlign w:val="baseline"/>
              </w:rPr>
              <w:t>系统开发完成</w:t>
            </w:r>
            <w:r>
              <w:rPr>
                <w:rFonts w:hint="eastAsia" w:ascii="宋体" w:hAnsi="宋体"/>
                <w:szCs w:val="21"/>
                <w:vertAlign w:val="baseline"/>
                <w:lang w:eastAsia="zh-CN"/>
              </w:rPr>
              <w:t>、</w:t>
            </w:r>
            <w:r>
              <w:rPr>
                <w:rFonts w:hint="eastAsia" w:ascii="宋体" w:hAnsi="宋体"/>
                <w:szCs w:val="21"/>
                <w:vertAlign w:val="baseline"/>
              </w:rPr>
              <w:t>试运行</w:t>
            </w:r>
            <w:r>
              <w:rPr>
                <w:rFonts w:hint="eastAsia" w:ascii="宋体" w:hAnsi="宋体"/>
                <w:szCs w:val="21"/>
                <w:vertAlign w:val="baseline"/>
                <w:lang w:eastAsia="zh-CN"/>
              </w:rPr>
              <w:t>、</w:t>
            </w:r>
            <w:r>
              <w:rPr>
                <w:rFonts w:hint="eastAsia" w:ascii="宋体" w:hAnsi="宋体"/>
                <w:szCs w:val="21"/>
                <w:vertAlign w:val="baseline"/>
              </w:rPr>
              <w:t>验收申请</w:t>
            </w:r>
            <w:r>
              <w:rPr>
                <w:rFonts w:hint="eastAsia" w:ascii="宋体" w:hAnsi="宋体"/>
                <w:szCs w:val="21"/>
                <w:vertAlign w:val="baseline"/>
                <w:lang w:eastAsia="zh-CN"/>
              </w:rPr>
              <w:t>、</w:t>
            </w:r>
            <w:r>
              <w:rPr>
                <w:rFonts w:hint="eastAsia" w:ascii="宋体" w:hAnsi="宋体"/>
                <w:szCs w:val="21"/>
                <w:vertAlign w:val="baseline"/>
              </w:rPr>
              <w:t>验收评审</w:t>
            </w:r>
            <w:r>
              <w:rPr>
                <w:rFonts w:hint="eastAsia" w:ascii="宋体" w:hAnsi="宋体"/>
                <w:szCs w:val="21"/>
                <w:vertAlign w:val="baseline"/>
                <w:lang w:eastAsia="zh-CN"/>
              </w:rPr>
              <w:t>、</w:t>
            </w:r>
            <w:r>
              <w:rPr>
                <w:rFonts w:hint="eastAsia" w:ascii="宋体" w:hAnsi="宋体"/>
                <w:szCs w:val="21"/>
                <w:vertAlign w:val="baseline"/>
              </w:rPr>
              <w:t>验收通过</w:t>
            </w:r>
          </w:p>
          <w:p w14:paraId="370777AE">
            <w:pPr>
              <w:spacing w:line="360" w:lineRule="auto"/>
              <w:rPr>
                <w:rFonts w:hint="default" w:ascii="宋体" w:hAnsi="宋体"/>
                <w:szCs w:val="21"/>
                <w:vertAlign w:val="baseline"/>
                <w:lang w:val="en-US"/>
              </w:rPr>
            </w:pPr>
            <w:r>
              <w:rPr>
                <w:rFonts w:hint="eastAsia" w:ascii="宋体" w:hAnsi="宋体"/>
                <w:szCs w:val="21"/>
                <w:vertAlign w:val="baseline"/>
              </w:rPr>
              <w:t>2.交付物包括系统软件、项目文档、培训资料等</w:t>
            </w:r>
          </w:p>
        </w:tc>
      </w:tr>
      <w:tr w14:paraId="4863AF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gridSpan w:val="2"/>
            <w:noWrap w:val="0"/>
            <w:vAlign w:val="center"/>
          </w:tcPr>
          <w:p w14:paraId="406FFEEC">
            <w:pPr>
              <w:spacing w:line="360" w:lineRule="auto"/>
              <w:jc w:val="both"/>
              <w:rPr>
                <w:rFonts w:hint="eastAsia" w:ascii="宋体" w:hAnsi="宋体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vertAlign w:val="baseline"/>
                <w:lang w:val="en-US" w:eastAsia="zh-CN"/>
              </w:rPr>
              <w:t>项目投资金额</w:t>
            </w:r>
          </w:p>
        </w:tc>
        <w:tc>
          <w:tcPr>
            <w:tcW w:w="6252" w:type="dxa"/>
            <w:gridSpan w:val="3"/>
            <w:noWrap w:val="0"/>
            <w:vAlign w:val="top"/>
          </w:tcPr>
          <w:p w14:paraId="30AE132F"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</w:rPr>
            </w:pPr>
            <w:r>
              <w:rPr>
                <w:rFonts w:hint="eastAsia" w:ascii="宋体" w:hAnsi="宋体"/>
                <w:szCs w:val="21"/>
                <w:vertAlign w:val="baseline"/>
              </w:rPr>
              <w:t>1,500,000.00元</w:t>
            </w:r>
          </w:p>
        </w:tc>
      </w:tr>
      <w:tr w14:paraId="2779F1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0" w:type="dxa"/>
            <w:gridSpan w:val="5"/>
            <w:noWrap w:val="0"/>
            <w:vAlign w:val="center"/>
          </w:tcPr>
          <w:p w14:paraId="02306D1C"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签字：</w:t>
            </w:r>
          </w:p>
          <w:p w14:paraId="395178FC">
            <w:pPr>
              <w:pStyle w:val="2"/>
              <w:rPr>
                <w:rFonts w:hint="default"/>
                <w:lang w:val="en-US" w:eastAsia="zh-CN"/>
              </w:rPr>
            </w:pPr>
          </w:p>
        </w:tc>
      </w:tr>
      <w:tr w14:paraId="430AD7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0" w:type="dxa"/>
            <w:gridSpan w:val="5"/>
            <w:noWrap w:val="0"/>
            <w:vAlign w:val="center"/>
          </w:tcPr>
          <w:p w14:paraId="1DC2B3E1">
            <w:pPr>
              <w:spacing w:line="360" w:lineRule="auto"/>
              <w:rPr>
                <w:rFonts w:hint="eastAsia" w:ascii="宋体" w:hAnsi="宋体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注释：</w:t>
            </w:r>
          </w:p>
        </w:tc>
      </w:tr>
    </w:tbl>
    <w:p w14:paraId="62E00D2E">
      <w:pPr>
        <w:rPr>
          <w:b w:val="0"/>
          <w:bCs w:val="0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3174CC"/>
    <w:rsid w:val="3831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unhideWhenUsed/>
    <w:qFormat/>
    <w:uiPriority w:val="0"/>
    <w:pPr>
      <w:ind w:firstLine="420" w:firstLineChars="100"/>
    </w:pPr>
  </w:style>
  <w:style w:type="paragraph" w:styleId="3">
    <w:name w:val="Body Text"/>
    <w:basedOn w:val="1"/>
    <w:unhideWhenUsed/>
    <w:qFormat/>
    <w:uiPriority w:val="99"/>
    <w:pPr>
      <w:spacing w:after="120"/>
    </w:p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2024-11-29T05:27:00Z</dcterms:created>
  <dc:creator>NFR</dc:creator>
  <cp:lastModifiedBy>NFR</cp:lastModifiedBy>
  <dcterms:modified xsi:type="dcterms:W3CDTF">2024-11-29T05:28:05Z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946887409BC946E09B3B723F8CCD386E_11</vt:lpwstr>
  </property>
</Properties>
</file>