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i w:val="false"/>
          <w:iCs w:val="false"/>
        </w:rPr>
        <w:t>THE INSTITUTE OF FINANCE MANAGEMENT</w:t>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2286635</wp:posOffset>
            </wp:positionH>
            <wp:positionV relativeFrom="paragraph">
              <wp:posOffset>165100</wp:posOffset>
            </wp:positionV>
            <wp:extent cx="1783080" cy="17170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783080" cy="171704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start"/>
        <w:tblInd w:w="-5" w:type="dxa"/>
        <w:tblLayout w:type="fixed"/>
        <w:tblCellMar>
          <w:top w:w="55" w:type="dxa"/>
          <w:start w:w="55" w:type="dxa"/>
          <w:bottom w:w="55" w:type="dxa"/>
          <w:end w:w="55" w:type="dxa"/>
        </w:tblCellMar>
      </w:tblPr>
      <w:tblGrid>
        <w:gridCol w:w="4500"/>
        <w:gridCol w:w="5142"/>
      </w:tblGrid>
      <w:tr>
        <w:trPr/>
        <w:tc>
          <w:tcPr>
            <w:tcW w:w="4500" w:type="dxa"/>
            <w:tcBorders>
              <w:top w:val="single" w:sz="4" w:space="0" w:color="000000"/>
              <w:start w:val="single" w:sz="4" w:space="0" w:color="000000"/>
              <w:bottom w:val="single" w:sz="4" w:space="0" w:color="000000"/>
            </w:tcBorders>
          </w:tcPr>
          <w:p>
            <w:pPr>
              <w:pStyle w:val="Normal"/>
              <w:widowControl w:val="false"/>
              <w:bidi w:val="0"/>
              <w:jc w:val="center"/>
              <w:rPr>
                <w:b/>
                <w:bCs/>
              </w:rPr>
            </w:pPr>
            <w:r>
              <w:rPr>
                <w:b/>
                <w:bCs/>
                <w:i w:val="false"/>
                <w:iCs w:val="false"/>
              </w:rPr>
              <w:t>Module Name:</w:t>
            </w:r>
          </w:p>
        </w:tc>
        <w:tc>
          <w:tcPr>
            <w:tcW w:w="5142"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INTERNATIONAL FINANCE</w:t>
            </w:r>
          </w:p>
        </w:tc>
      </w:tr>
      <w:tr>
        <w:trPr/>
        <w:tc>
          <w:tcPr>
            <w:tcW w:w="4500" w:type="dxa"/>
            <w:tcBorders>
              <w:start w:val="single" w:sz="4" w:space="0" w:color="000000"/>
              <w:bottom w:val="single" w:sz="4" w:space="0" w:color="000000"/>
            </w:tcBorders>
          </w:tcPr>
          <w:p>
            <w:pPr>
              <w:pStyle w:val="Normal"/>
              <w:widowControl w:val="false"/>
              <w:bidi w:val="0"/>
              <w:jc w:val="center"/>
              <w:rPr>
                <w:b/>
                <w:bCs/>
              </w:rPr>
            </w:pPr>
            <w:r>
              <w:rPr>
                <w:b/>
                <w:bCs/>
                <w:i w:val="false"/>
                <w:iCs w:val="false"/>
              </w:rPr>
              <w:t>Module Code:</w:t>
            </w:r>
          </w:p>
        </w:tc>
        <w:tc>
          <w:tcPr>
            <w:tcW w:w="5142" w:type="dxa"/>
            <w:tcBorders>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AFU-08504 (Coursework Assignment)</w:t>
            </w:r>
          </w:p>
        </w:tc>
      </w:tr>
      <w:tr>
        <w:trPr/>
        <w:tc>
          <w:tcPr>
            <w:tcW w:w="4500" w:type="dxa"/>
            <w:tcBorders>
              <w:start w:val="single" w:sz="4" w:space="0" w:color="000000"/>
              <w:bottom w:val="single" w:sz="4" w:space="0" w:color="000000"/>
            </w:tcBorders>
          </w:tcPr>
          <w:p>
            <w:pPr>
              <w:pStyle w:val="Normal"/>
              <w:widowControl w:val="false"/>
              <w:bidi w:val="0"/>
              <w:jc w:val="center"/>
              <w:rPr>
                <w:b/>
                <w:bCs/>
              </w:rPr>
            </w:pPr>
            <w:r>
              <w:rPr>
                <w:b/>
                <w:bCs/>
                <w:i w:val="false"/>
                <w:iCs w:val="false"/>
              </w:rPr>
              <w:t>Department</w:t>
            </w:r>
          </w:p>
        </w:tc>
        <w:tc>
          <w:tcPr>
            <w:tcW w:w="5142" w:type="dxa"/>
            <w:tcBorders>
              <w:start w:val="single" w:sz="4" w:space="0" w:color="000000"/>
              <w:bottom w:val="single" w:sz="4" w:space="0" w:color="000000"/>
              <w:end w:val="single" w:sz="4" w:space="0" w:color="000000"/>
            </w:tcBorders>
          </w:tcPr>
          <w:p>
            <w:pPr>
              <w:pStyle w:val="Normal"/>
              <w:widowControl w:val="false"/>
              <w:bidi w:val="0"/>
              <w:jc w:val="center"/>
              <w:rPr>
                <w:b w:val="false"/>
                <w:bCs w:val="false"/>
              </w:rPr>
            </w:pPr>
            <w:r>
              <w:rPr>
                <w:b w:val="false"/>
                <w:bCs w:val="false"/>
                <w:i w:val="false"/>
                <w:iCs w:val="false"/>
              </w:rPr>
              <w:t>BANKING AND FINANCE</w:t>
            </w:r>
          </w:p>
        </w:tc>
      </w:tr>
    </w:tbl>
    <w:p>
      <w:pPr>
        <w:pStyle w:val="Normal"/>
        <w:bidi w:val="0"/>
        <w:jc w:val="star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start"/>
        <w:rPr>
          <w:i w:val="false"/>
          <w:i w:val="false"/>
          <w:iCs w:val="false"/>
        </w:rPr>
      </w:pPr>
      <w:r>
        <w:rPr>
          <w:i w:val="false"/>
          <w:iCs w:val="false"/>
        </w:rPr>
      </w:r>
    </w:p>
    <w:tbl>
      <w:tblPr>
        <w:tblW w:w="9645" w:type="dxa"/>
        <w:jc w:val="start"/>
        <w:tblInd w:w="-5" w:type="dxa"/>
        <w:tblLayout w:type="fixed"/>
        <w:tblCellMar>
          <w:top w:w="55" w:type="dxa"/>
          <w:start w:w="55" w:type="dxa"/>
          <w:bottom w:w="55" w:type="dxa"/>
          <w:end w:w="55" w:type="dxa"/>
        </w:tblCellMar>
      </w:tblPr>
      <w:tblGrid>
        <w:gridCol w:w="4500"/>
        <w:gridCol w:w="5144"/>
      </w:tblGrid>
      <w:tr>
        <w:trPr/>
        <w:tc>
          <w:tcPr>
            <w:tcW w:w="4500" w:type="dxa"/>
            <w:tcBorders>
              <w:top w:val="single" w:sz="4" w:space="0" w:color="000000"/>
              <w:start w:val="single" w:sz="4" w:space="0" w:color="000000"/>
              <w:bottom w:val="single" w:sz="4" w:space="0" w:color="000000"/>
            </w:tcBorders>
          </w:tcPr>
          <w:p>
            <w:pPr>
              <w:pStyle w:val="Normal"/>
              <w:widowControl w:val="false"/>
              <w:bidi w:val="0"/>
              <w:jc w:val="center"/>
              <w:rPr>
                <w:b/>
                <w:bCs/>
              </w:rPr>
            </w:pPr>
            <w:r>
              <w:rPr>
                <w:b/>
                <w:bCs/>
                <w:i w:val="false"/>
                <w:iCs w:val="false"/>
              </w:rPr>
              <w:t>Student Name</w:t>
            </w:r>
          </w:p>
        </w:tc>
        <w:tc>
          <w:tcPr>
            <w:tcW w:w="5144" w:type="dxa"/>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rPr>
            </w:pPr>
            <w:r>
              <w:rPr>
                <w:b/>
                <w:bCs/>
              </w:rPr>
              <w:t>Registration Number</w:t>
            </w:r>
          </w:p>
        </w:tc>
      </w:tr>
      <w:tr>
        <w:trPr/>
        <w:tc>
          <w:tcPr>
            <w:tcW w:w="4500" w:type="dxa"/>
            <w:tcBorders>
              <w:start w:val="single" w:sz="4" w:space="0" w:color="000000"/>
              <w:bottom w:val="single" w:sz="4" w:space="0" w:color="000000"/>
            </w:tcBorders>
          </w:tcPr>
          <w:p>
            <w:pPr>
              <w:pStyle w:val="TableContents"/>
              <w:widowControl w:val="false"/>
              <w:bidi w:val="0"/>
              <w:jc w:val="center"/>
              <w:rPr/>
            </w:pPr>
            <w:r>
              <w:rPr/>
              <w:t>MAYENGO DOTTO</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IMC/BAIT/2123631</w:t>
            </w:r>
          </w:p>
        </w:tc>
      </w:tr>
      <w:tr>
        <w:trPr/>
        <w:tc>
          <w:tcPr>
            <w:tcW w:w="4500" w:type="dxa"/>
            <w:tcBorders>
              <w:start w:val="single" w:sz="4" w:space="0" w:color="000000"/>
              <w:bottom w:val="single" w:sz="4" w:space="0" w:color="000000"/>
            </w:tcBorders>
          </w:tcPr>
          <w:p>
            <w:pPr>
              <w:pStyle w:val="TableContents"/>
              <w:widowControl w:val="false"/>
              <w:bidi w:val="0"/>
              <w:jc w:val="center"/>
              <w:rPr/>
            </w:pPr>
            <w:r>
              <w:rPr/>
              <w:t>PASIAN YONA LEMEI</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IMC/BAIT/2123804</w:t>
            </w:r>
          </w:p>
        </w:tc>
      </w:tr>
      <w:tr>
        <w:trPr/>
        <w:tc>
          <w:tcPr>
            <w:tcW w:w="4500" w:type="dxa"/>
            <w:tcBorders>
              <w:star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IMC/BAIT/2123823</w:t>
            </w:r>
          </w:p>
        </w:tc>
      </w:tr>
      <w:tr>
        <w:trPr>
          <w:trHeight w:val="280" w:hRule="atLeast"/>
        </w:trPr>
        <w:tc>
          <w:tcPr>
            <w:tcW w:w="4500" w:type="dxa"/>
            <w:tcBorders>
              <w:start w:val="single" w:sz="4" w:space="0" w:color="000000"/>
              <w:bottom w:val="single" w:sz="4" w:space="0" w:color="000000"/>
            </w:tcBorders>
          </w:tcPr>
          <w:p>
            <w:pPr>
              <w:pStyle w:val="TableContents"/>
              <w:widowControl w:val="false"/>
              <w:bidi w:val="0"/>
              <w:jc w:val="center"/>
              <w:rPr/>
            </w:pPr>
            <w:r>
              <w:rPr/>
              <w:t>VERONICA C. MAKOI</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IMC/BAIT/2113714</w:t>
            </w:r>
          </w:p>
        </w:tc>
      </w:tr>
      <w:tr>
        <w:trPr/>
        <w:tc>
          <w:tcPr>
            <w:tcW w:w="4500" w:type="dxa"/>
            <w:tcBorders>
              <w:start w:val="single" w:sz="4" w:space="0" w:color="000000"/>
              <w:bottom w:val="single" w:sz="4" w:space="0" w:color="000000"/>
            </w:tcBorders>
          </w:tcPr>
          <w:p>
            <w:pPr>
              <w:pStyle w:val="TableContents"/>
              <w:widowControl w:val="false"/>
              <w:suppressLineNumbers/>
              <w:bidi w:val="0"/>
              <w:jc w:val="center"/>
              <w:rPr/>
            </w:pPr>
            <w:r>
              <w:rPr/>
              <w:t>ANITA C. TAIRO</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IMC/BAIT/2113768</w:t>
            </w:r>
          </w:p>
        </w:tc>
      </w:tr>
      <w:tr>
        <w:trPr/>
        <w:tc>
          <w:tcPr>
            <w:tcW w:w="4500" w:type="dxa"/>
            <w:tcBorders>
              <w:start w:val="single" w:sz="4" w:space="0" w:color="000000"/>
              <w:bottom w:val="single" w:sz="4" w:space="0" w:color="000000"/>
            </w:tcBorders>
          </w:tcPr>
          <w:p>
            <w:pPr>
              <w:pStyle w:val="TableContents"/>
              <w:widowControl w:val="false"/>
              <w:suppressLineNumbers/>
              <w:bidi w:val="0"/>
              <w:jc w:val="end"/>
              <w:rPr/>
            </w:pPr>
            <w:r>
              <w:rPr/>
              <w:t>FRAVIUS FORTUNATUS PONTIAN</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IMC/BAIT/2123503</w:t>
            </w:r>
          </w:p>
        </w:tc>
      </w:tr>
      <w:tr>
        <w:trPr/>
        <w:tc>
          <w:tcPr>
            <w:tcW w:w="4500" w:type="dxa"/>
            <w:tcBorders>
              <w:star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IMC/BAIT/2123269</w:t>
            </w:r>
          </w:p>
        </w:tc>
      </w:tr>
      <w:tr>
        <w:trPr/>
        <w:tc>
          <w:tcPr>
            <w:tcW w:w="4500" w:type="dxa"/>
            <w:tcBorders>
              <w:start w:val="single" w:sz="4" w:space="0" w:color="000000"/>
              <w:bottom w:val="single" w:sz="4" w:space="0" w:color="000000"/>
            </w:tcBorders>
          </w:tcPr>
          <w:p>
            <w:pPr>
              <w:pStyle w:val="TableContents"/>
              <w:widowControl w:val="false"/>
              <w:suppressLineNumbers/>
              <w:bidi w:val="0"/>
              <w:jc w:val="center"/>
              <w:rPr/>
            </w:pPr>
            <w:r>
              <w:rPr/>
              <w:t>IRENE L MICHAEL</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IMC/BAIT/2113814</w:t>
            </w:r>
          </w:p>
        </w:tc>
      </w:tr>
      <w:tr>
        <w:trPr/>
        <w:tc>
          <w:tcPr>
            <w:tcW w:w="4500" w:type="dxa"/>
            <w:tcBorders>
              <w:start w:val="single" w:sz="4" w:space="0" w:color="000000"/>
              <w:bottom w:val="single" w:sz="4" w:space="0" w:color="000000"/>
            </w:tcBorders>
          </w:tcPr>
          <w:p>
            <w:pPr>
              <w:pStyle w:val="TableContents"/>
              <w:widowControl w:val="false"/>
              <w:suppressLineNumbers/>
              <w:bidi w:val="0"/>
              <w:jc w:val="center"/>
              <w:rPr/>
            </w:pPr>
            <w:r>
              <w:rPr/>
              <w:t>HAPPYNESS C MUSA</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IMC/BAIT/2111580</w:t>
            </w:r>
          </w:p>
        </w:tc>
      </w:tr>
      <w:tr>
        <w:trPr/>
        <w:tc>
          <w:tcPr>
            <w:tcW w:w="4500" w:type="dxa"/>
            <w:tcBorders>
              <w:start w:val="single" w:sz="4" w:space="0" w:color="000000"/>
              <w:bottom w:val="single" w:sz="4" w:space="0" w:color="000000"/>
            </w:tcBorders>
          </w:tcPr>
          <w:p>
            <w:pPr>
              <w:pStyle w:val="TableContents"/>
              <w:widowControl w:val="false"/>
              <w:suppressLineNumbers/>
              <w:bidi w:val="0"/>
              <w:jc w:val="center"/>
              <w:rPr/>
            </w:pPr>
            <w:r>
              <w:rPr/>
              <w:t xml:space="preserve">MUSHARAFU MOHAMED MURO </w:t>
            </w:r>
          </w:p>
        </w:tc>
        <w:tc>
          <w:tcPr>
            <w:tcW w:w="5144" w:type="dxa"/>
            <w:tcBorders>
              <w:start w:val="single" w:sz="4" w:space="0" w:color="000000"/>
              <w:bottom w:val="single" w:sz="4" w:space="0" w:color="000000"/>
              <w:end w:val="single" w:sz="4" w:space="0" w:color="000000"/>
            </w:tcBorders>
          </w:tcPr>
          <w:p>
            <w:pPr>
              <w:pStyle w:val="TableContents"/>
              <w:widowControl w:val="false"/>
              <w:bidi w:val="0"/>
              <w:jc w:val="center"/>
              <w:rPr/>
            </w:pPr>
            <w:r>
              <w:rPr/>
              <w:t>IMC/BAIT/21</w:t>
            </w:r>
            <w:r>
              <w:rPr/>
              <w:t>21194</w:t>
            </w:r>
          </w:p>
        </w:tc>
      </w:tr>
    </w:tbl>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QUESTION ONE:</w:t>
      </w:r>
    </w:p>
    <w:p>
      <w:pPr>
        <w:pStyle w:val="Normal"/>
        <w:bidi w:val="0"/>
        <w:jc w:val="start"/>
        <w:rPr/>
      </w:pPr>
      <w:r>
        <w:rPr/>
      </w:r>
    </w:p>
    <w:p>
      <w:pPr>
        <w:pStyle w:val="Normal"/>
        <w:bidi w:val="0"/>
        <w:jc w:val="start"/>
        <w:rPr/>
      </w:pPr>
      <w:r>
        <w:rPr/>
        <w:t>WORKINGS:</w:t>
      </w:r>
    </w:p>
    <w:p>
      <w:pPr>
        <w:pStyle w:val="Heading3"/>
        <w:bidi w:val="0"/>
        <w:jc w:val="start"/>
        <w:rPr/>
      </w:pPr>
      <w:r>
        <w:rPr/>
        <w:t>I) Express £ in terms of €:</w:t>
      </w:r>
    </w:p>
    <w:p>
      <w:pPr>
        <w:pStyle w:val="BodyText"/>
        <w:ind w:hanging="0" w:start="0" w:end="0"/>
        <w:rPr/>
      </w:pPr>
      <w:r>
        <w:rPr>
          <w:rStyle w:val="Strong"/>
        </w:rPr>
        <w:t xml:space="preserve">€ </w:t>
      </w:r>
      <w:r>
        <w:rPr>
          <w:rStyle w:val="Strong"/>
        </w:rPr>
        <w:t>/ £ Bid Spot:</w:t>
      </w:r>
      <w:r>
        <w:rPr/>
        <w:t xml:space="preserve"> £/€ Ask Spot1​=0.41​=2.5</w:t>
      </w:r>
    </w:p>
    <w:p>
      <w:pPr>
        <w:pStyle w:val="BodyText"/>
        <w:ind w:hanging="0" w:start="0" w:end="0"/>
        <w:rPr/>
      </w:pPr>
      <w:r>
        <w:rPr>
          <w:rStyle w:val="Strong"/>
        </w:rPr>
        <w:t xml:space="preserve">€ </w:t>
      </w:r>
      <w:r>
        <w:rPr>
          <w:rStyle w:val="Strong"/>
        </w:rPr>
        <w:t>/ £ Ask Spot:</w:t>
      </w:r>
      <w:r>
        <w:rPr/>
        <w:t xml:space="preserve"> £/€ Bid Spot1​=0.251​=4.0</w:t>
      </w:r>
    </w:p>
    <w:p>
      <w:pPr>
        <w:pStyle w:val="BodyText"/>
        <w:ind w:hanging="0" w:start="0" w:end="0"/>
        <w:rPr/>
      </w:pPr>
      <w:r>
        <w:rPr/>
      </w:r>
    </w:p>
    <w:p>
      <w:pPr>
        <w:pStyle w:val="Heading3"/>
        <w:rPr/>
      </w:pPr>
      <w:r>
        <w:rPr/>
        <w:t>ii) Cross Rate for TZS/€:</w:t>
      </w:r>
    </w:p>
    <w:p>
      <w:pPr>
        <w:pStyle w:val="BodyText"/>
        <w:ind w:hanging="0" w:start="0" w:end="0"/>
        <w:rPr/>
      </w:pPr>
      <w:r>
        <w:rPr>
          <w:rStyle w:val="Strong"/>
        </w:rPr>
        <w:t>TZS / € Bid Spot:</w:t>
      </w:r>
      <w:r>
        <w:rPr/>
        <w:t xml:space="preserve"> €/£ Ask Spot TZS/€ Bid​=4.02500​=625</w:t>
      </w:r>
    </w:p>
    <w:p>
      <w:pPr>
        <w:pStyle w:val="BodyText"/>
        <w:ind w:hanging="0" w:start="0" w:end="0"/>
        <w:rPr/>
      </w:pPr>
      <w:r>
        <w:rPr>
          <w:rStyle w:val="Strong"/>
        </w:rPr>
        <w:t>TZS / € Ask Spot:</w:t>
      </w:r>
      <w:r>
        <w:rPr/>
        <w:t xml:space="preserve"> €/£ Bid Spot TZS/£ Ask​=2.52600​=1040</w:t>
      </w:r>
    </w:p>
    <w:p>
      <w:pPr>
        <w:pStyle w:val="BodyText"/>
        <w:ind w:hanging="0" w:start="0" w:end="0"/>
        <w:rPr/>
      </w:pPr>
      <w:r>
        <w:rPr/>
      </w:r>
    </w:p>
    <w:p>
      <w:pPr>
        <w:pStyle w:val="Heading3"/>
        <w:rPr/>
      </w:pPr>
      <w:r>
        <w:rPr/>
        <w:t>iii) 1 Year Forward Rate:</w:t>
      </w:r>
    </w:p>
    <w:p>
      <w:pPr>
        <w:pStyle w:val="BodyText"/>
        <w:ind w:hanging="0" w:start="0" w:end="0"/>
        <w:rPr/>
      </w:pPr>
      <w:r>
        <w:rPr>
          <w:rStyle w:val="Strong"/>
        </w:rPr>
        <w:t xml:space="preserve">€ </w:t>
      </w:r>
      <w:r>
        <w:rPr>
          <w:rStyle w:val="Strong"/>
        </w:rPr>
        <w:t>/ £ 1 Year Forward Bid:</w:t>
      </w:r>
      <w:r>
        <w:rPr/>
        <w:t xml:space="preserve"> £/€ Ask 1 Year Forward1​=0.801​=1.25</w:t>
      </w:r>
    </w:p>
    <w:p>
      <w:pPr>
        <w:pStyle w:val="BodyText"/>
        <w:ind w:hanging="0" w:start="0" w:end="0"/>
        <w:rPr/>
      </w:pPr>
      <w:r>
        <w:rPr>
          <w:rStyle w:val="Strong"/>
        </w:rPr>
        <w:t xml:space="preserve">€ </w:t>
      </w:r>
      <w:r>
        <w:rPr>
          <w:rStyle w:val="Strong"/>
        </w:rPr>
        <w:t>/ £ 1 Year Forward Ask:</w:t>
      </w:r>
      <w:r>
        <w:rPr/>
        <w:t xml:space="preserve"> (€/£ 1 Year Forward Bid)1​=0.51​=2.0</w:t>
      </w:r>
    </w:p>
    <w:p>
      <w:pPr>
        <w:pStyle w:val="BodyText"/>
        <w:ind w:hanging="0" w:start="0" w:end="0"/>
        <w:rPr/>
      </w:pPr>
      <w:r>
        <w:rPr/>
      </w:r>
    </w:p>
    <w:p>
      <w:pPr>
        <w:pStyle w:val="Heading3"/>
        <w:rPr/>
      </w:pPr>
      <w:r>
        <w:rPr/>
        <w:t>iv) Cross Rate in Forward Rates for TZS/€ 1 Year Forward:</w:t>
      </w:r>
    </w:p>
    <w:p>
      <w:pPr>
        <w:pStyle w:val="BodyText"/>
        <w:ind w:hanging="0" w:start="0" w:end="0"/>
        <w:rPr/>
      </w:pPr>
      <w:r>
        <w:rPr>
          <w:rStyle w:val="Strong"/>
        </w:rPr>
        <w:t>TZS / € 1 Year Forward Bid:</w:t>
      </w:r>
      <w:r>
        <w:rPr/>
        <w:t xml:space="preserve"> €/£ 1 Year Forward Ask TZS/£ 1 Year Forward Bid​=2.02650​=1325</w:t>
      </w:r>
    </w:p>
    <w:p>
      <w:pPr>
        <w:pStyle w:val="BodyText"/>
        <w:ind w:hanging="0" w:start="0" w:end="0"/>
        <w:rPr/>
      </w:pPr>
      <w:r>
        <w:rPr>
          <w:rStyle w:val="Strong"/>
        </w:rPr>
        <w:t>TZS / € 1 Year Forward Ask:</w:t>
      </w:r>
      <w:r>
        <w:rPr/>
        <w:t xml:space="preserve"> €/£ 1 Year Forward Bid TZS/£ 1 Year Forward Rate​=1.252690​=2152</w:t>
      </w:r>
    </w:p>
    <w:p>
      <w:pPr>
        <w:pStyle w:val="Normal"/>
        <w:bidi w:val="0"/>
        <w:jc w:val="start"/>
        <w:rPr/>
      </w:pPr>
      <w:r>
        <w:rPr/>
      </w:r>
    </w:p>
    <w:p>
      <w:pPr>
        <w:pStyle w:val="Normal"/>
        <w:bidi w:val="0"/>
        <w:jc w:val="start"/>
        <w:rPr>
          <w:b/>
          <w:bCs/>
        </w:rPr>
      </w:pPr>
      <w:r>
        <w:rPr>
          <w:b/>
          <w:bCs/>
        </w:rPr>
        <w:t>SOLUTIONS</w:t>
      </w:r>
    </w:p>
    <w:p>
      <w:pPr>
        <w:pStyle w:val="Normal"/>
        <w:bidi w:val="0"/>
        <w:jc w:val="start"/>
        <w:rPr>
          <w:b/>
          <w:bCs/>
        </w:rPr>
      </w:pPr>
      <w:r>
        <w:rPr>
          <w:b/>
          <w:bCs/>
        </w:rPr>
        <w:t>1. Calculate the value in TZS to a customer who wishes to sell €5,000 to the dealer spot.</w:t>
      </w:r>
    </w:p>
    <w:p>
      <w:pPr>
        <w:pStyle w:val="Normal"/>
        <w:bidi w:val="0"/>
        <w:ind w:hanging="0" w:start="0" w:end="0"/>
        <w:jc w:val="start"/>
        <w:rPr/>
      </w:pPr>
      <w:r>
        <w:rPr/>
        <w:t xml:space="preserve">Value in TZS=1 Euro Rate Amount in Euros×Exchange Rate​ </w:t>
      </w:r>
    </w:p>
    <w:p>
      <w:pPr>
        <w:pStyle w:val="Normal"/>
        <w:bidi w:val="0"/>
        <w:ind w:hanging="0" w:start="0" w:end="0"/>
        <w:jc w:val="start"/>
        <w:rPr/>
      </w:pPr>
      <w:r>
        <w:rPr/>
        <w:t>=15000×625</w:t>
      </w:r>
    </w:p>
    <w:p>
      <w:pPr>
        <w:pStyle w:val="Normal"/>
        <w:bidi w:val="0"/>
        <w:ind w:hanging="0" w:start="0" w:end="0"/>
        <w:jc w:val="start"/>
        <w:rPr/>
      </w:pPr>
      <w:r>
        <w:rPr/>
        <w:t>=3,125,000TZS</w:t>
      </w:r>
    </w:p>
    <w:p>
      <w:pPr>
        <w:pStyle w:val="Normal"/>
        <w:bidi w:val="0"/>
        <w:jc w:val="start"/>
        <w:rPr/>
      </w:pPr>
      <w:r>
        <w:rPr/>
      </w:r>
    </w:p>
    <w:p>
      <w:pPr>
        <w:pStyle w:val="Normal"/>
        <w:bidi w:val="0"/>
        <w:jc w:val="start"/>
        <w:rPr/>
      </w:pPr>
      <w:r>
        <w:rPr/>
      </w:r>
    </w:p>
    <w:p>
      <w:pPr>
        <w:pStyle w:val="Normal"/>
        <w:bidi w:val="0"/>
        <w:jc w:val="start"/>
        <w:rPr>
          <w:b/>
          <w:bCs/>
        </w:rPr>
      </w:pPr>
      <w:r>
        <w:rPr>
          <w:b/>
          <w:bCs/>
        </w:rPr>
        <w:t>2.The value in € to a customer who wishes to sell TZS5,000,000 to the dealer one year forward.</w:t>
      </w:r>
    </w:p>
    <w:p>
      <w:pPr>
        <w:pStyle w:val="Normal"/>
        <w:bidi w:val="0"/>
        <w:ind w:hanging="0" w:start="0" w:end="0"/>
        <w:jc w:val="start"/>
        <w:rPr/>
      </w:pPr>
      <w:r>
        <w:rPr/>
        <w:t xml:space="preserve">Value in Euros=1 Year Forward Rate Amount in TZS×1 Euro Rate​ </w:t>
      </w:r>
    </w:p>
    <w:p>
      <w:pPr>
        <w:pStyle w:val="Normal"/>
        <w:bidi w:val="0"/>
        <w:ind w:hanging="0" w:start="0" w:end="0"/>
        <w:jc w:val="start"/>
        <w:rPr/>
      </w:pPr>
      <w:r>
        <w:rPr/>
        <w:t>=13255,000,000×1​  ≈ 3773.5849Euros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rPr/>
      </w:pPr>
      <w:r>
        <w:rPr/>
        <w:t>3. Calculate the value in TZS to the dealer upon selling €5,000 to a customer spot.</w:t>
      </w:r>
    </w:p>
    <w:p>
      <w:pPr>
        <w:pStyle w:val="BodyText"/>
        <w:ind w:hanging="0" w:start="0" w:end="0"/>
        <w:rPr/>
      </w:pPr>
      <w:r>
        <w:rPr/>
        <w:t>Value in TZS=1 Euro Rate Amount in Euros×Spot Rate​</w:t>
      </w:r>
    </w:p>
    <w:p>
      <w:pPr>
        <w:pStyle w:val="BodyText"/>
        <w:ind w:hanging="0" w:start="0" w:end="0"/>
        <w:rPr/>
      </w:pPr>
      <w:r>
        <w:rPr/>
        <w:t xml:space="preserve"> </w:t>
      </w:r>
      <w:r>
        <w:rPr/>
        <w:t>=15000×1040​</w:t>
      </w:r>
    </w:p>
    <w:p>
      <w:pPr>
        <w:pStyle w:val="BodyText"/>
        <w:ind w:hanging="0" w:start="0" w:end="0"/>
        <w:rPr/>
      </w:pPr>
      <w:r>
        <w:rPr/>
        <w:t>=5,200,000TZS</w:t>
      </w:r>
    </w:p>
    <w:p>
      <w:pPr>
        <w:pStyle w:val="BodyText"/>
        <w:ind w:hanging="0" w:start="0" w:end="0"/>
        <w:rPr/>
      </w:pPr>
      <w:r>
        <w:rPr/>
        <w:t>Value in TZS=15000×1040​=5,200,000TZS</w:t>
      </w:r>
    </w:p>
    <w:p>
      <w:pPr>
        <w:pStyle w:val="Heading3"/>
        <w:rPr/>
      </w:pPr>
      <w:r>
        <w:rPr/>
        <w:t>4. The value in € to the dealer upon selling TZS5,000,000 to a customer one year forward.</w:t>
      </w:r>
    </w:p>
    <w:p>
      <w:pPr>
        <w:pStyle w:val="BodyText"/>
        <w:ind w:hanging="0" w:start="0" w:end="0"/>
        <w:rPr/>
      </w:pPr>
      <w:r>
        <w:rPr/>
        <w:t xml:space="preserve">Value in Euros= Amount in TZS​ / 1 Year Forward Rate </w:t>
      </w:r>
    </w:p>
    <w:p>
      <w:pPr>
        <w:pStyle w:val="BodyText"/>
        <w:ind w:hanging="0" w:start="0" w:end="0"/>
        <w:rPr/>
      </w:pPr>
      <w:r>
        <w:rPr/>
        <w:t>=5,000,000​ / 2152 ≈ 2323.4201Euros</w:t>
      </w:r>
    </w:p>
    <w:p>
      <w:pPr>
        <w:pStyle w:val="BodyText"/>
        <w:ind w:hanging="0" w:start="0" w:end="0"/>
        <w:rPr/>
      </w:pPr>
      <w:r>
        <w:rPr/>
        <w:t>= 2323.4201Euros</w:t>
      </w:r>
    </w:p>
    <w:p>
      <w:pPr>
        <w:pStyle w:val="Normal"/>
        <w:bidi w:val="0"/>
        <w:jc w:val="start"/>
        <w:rPr>
          <w:b/>
          <w:bCs/>
        </w:rPr>
      </w:pPr>
      <w:r>
        <w:rPr>
          <w:b/>
          <w:bCs/>
        </w:rPr>
        <w:t>5. The cost in TZS to a customer who wishes to buy €5,000 from the dealer spot.</w:t>
      </w:r>
    </w:p>
    <w:p>
      <w:pPr>
        <w:pStyle w:val="BodyText"/>
        <w:bidi w:val="0"/>
        <w:jc w:val="start"/>
        <w:rPr/>
      </w:pPr>
      <w:r>
        <w:rPr/>
        <w:t>Given:</w:t>
      </w:r>
    </w:p>
    <w:p>
      <w:pPr>
        <w:pStyle w:val="BodyText"/>
        <w:numPr>
          <w:ilvl w:val="0"/>
          <w:numId w:val="1"/>
        </w:numPr>
        <w:tabs>
          <w:tab w:val="clear" w:pos="709"/>
          <w:tab w:val="left" w:pos="0" w:leader="none"/>
        </w:tabs>
        <w:spacing w:before="0" w:after="0"/>
        <w:ind w:hanging="283" w:start="709"/>
        <w:rPr/>
      </w:pPr>
      <w:r>
        <w:rPr/>
        <w:t xml:space="preserve">€ </w:t>
      </w:r>
      <w:r>
        <w:rPr/>
        <w:t xml:space="preserve">/ £ Bid Spot: 2.5 (from </w:t>
      </w:r>
      <w:r>
        <w:rPr/>
        <w:t>the</w:t>
      </w:r>
      <w:r>
        <w:rPr/>
        <w:t xml:space="preserve"> expression of £ in terms of €)</w:t>
      </w:r>
    </w:p>
    <w:p>
      <w:pPr>
        <w:pStyle w:val="BodyText"/>
        <w:numPr>
          <w:ilvl w:val="0"/>
          <w:numId w:val="1"/>
        </w:numPr>
        <w:tabs>
          <w:tab w:val="clear" w:pos="709"/>
          <w:tab w:val="left" w:pos="0" w:leader="none"/>
        </w:tabs>
        <w:spacing w:before="0" w:after="0"/>
        <w:ind w:hanging="283" w:start="709"/>
        <w:rPr/>
      </w:pPr>
      <w:r>
        <w:rPr/>
        <w:t xml:space="preserve">€ </w:t>
      </w:r>
      <w:r>
        <w:rPr/>
        <w:t xml:space="preserve">/ £ Ask Spot: 4.0 (from </w:t>
      </w:r>
      <w:r>
        <w:rPr/>
        <w:t xml:space="preserve">the </w:t>
      </w:r>
      <w:r>
        <w:rPr/>
        <w:t>expression of £ in terms of €)</w:t>
      </w:r>
    </w:p>
    <w:p>
      <w:pPr>
        <w:pStyle w:val="BodyText"/>
        <w:numPr>
          <w:ilvl w:val="0"/>
          <w:numId w:val="1"/>
        </w:numPr>
        <w:tabs>
          <w:tab w:val="clear" w:pos="709"/>
          <w:tab w:val="left" w:pos="0" w:leader="none"/>
        </w:tabs>
        <w:ind w:hanging="283" w:start="709"/>
        <w:rPr/>
      </w:pPr>
      <w:r>
        <w:rPr/>
        <w:t xml:space="preserve">€ </w:t>
      </w:r>
      <w:r>
        <w:rPr/>
        <w:t xml:space="preserve">/ TZS Ask Spot: 1040 (from </w:t>
      </w:r>
      <w:r>
        <w:rPr/>
        <w:t>the</w:t>
      </w:r>
      <w:r>
        <w:rPr/>
        <w:t xml:space="preserve"> calculation in the cross rate for TZS/€ bid spot)</w:t>
      </w:r>
    </w:p>
    <w:p>
      <w:pPr>
        <w:pStyle w:val="BodyText"/>
        <w:rPr/>
      </w:pPr>
      <w:r>
        <w:rPr/>
        <w:t>The customer wishes to buy €5,000. We can calculate the cost in TZS using the Ask rate, as the customer is buying euros from the dealer:</w:t>
      </w:r>
    </w:p>
    <w:p>
      <w:pPr>
        <w:pStyle w:val="BodyText"/>
        <w:ind w:hanging="0" w:start="0" w:end="0"/>
        <w:rPr/>
      </w:pPr>
      <w:r>
        <w:rPr/>
        <w:t>Cost in TZS=Amount in Euros×Ask Rate</w:t>
      </w:r>
    </w:p>
    <w:p>
      <w:pPr>
        <w:pStyle w:val="BodyText"/>
        <w:ind w:hanging="0" w:start="0" w:end="0"/>
        <w:rPr/>
      </w:pPr>
      <w:r>
        <w:rPr/>
        <w:t>Cost in TZS=5000euros×1040TZS/€</w:t>
      </w:r>
    </w:p>
    <w:p>
      <w:pPr>
        <w:pStyle w:val="BodyText"/>
        <w:ind w:hanging="0" w:start="0" w:end="0"/>
        <w:rPr/>
      </w:pPr>
      <w:r>
        <w:rPr/>
        <w:t>Cost in TZS=5,200,000TZS</w:t>
      </w:r>
    </w:p>
    <w:p>
      <w:pPr>
        <w:pStyle w:val="BodyText"/>
        <w:rPr/>
      </w:pPr>
      <w:r>
        <w:rPr/>
        <w:t>So, the cost in TZS to a customer who wishes to buy €5,000 from the dealer spot is TZS 5,200,000.</w:t>
      </w:r>
    </w:p>
    <w:p>
      <w:pPr>
        <w:pStyle w:val="Normal"/>
        <w:bidi w:val="0"/>
        <w:jc w:val="start"/>
        <w:rPr/>
      </w:pPr>
      <w:r>
        <w:rPr/>
      </w:r>
    </w:p>
    <w:p>
      <w:pPr>
        <w:pStyle w:val="Normal"/>
        <w:bidi w:val="0"/>
        <w:jc w:val="start"/>
        <w:rPr/>
      </w:pPr>
      <w:r>
        <w:rPr/>
      </w:r>
    </w:p>
    <w:p>
      <w:pPr>
        <w:pStyle w:val="Normal"/>
        <w:bidi w:val="0"/>
        <w:jc w:val="start"/>
        <w:rPr>
          <w:b/>
          <w:bCs/>
        </w:rPr>
      </w:pPr>
      <w:r>
        <w:rPr>
          <w:b/>
          <w:bCs/>
        </w:rPr>
        <w:t>6. The cost in € to a customer who wishes to buy TZS5,000,000 from the dealer one year forward.</w:t>
      </w:r>
    </w:p>
    <w:p>
      <w:pPr>
        <w:pStyle w:val="Normal"/>
        <w:bidi w:val="0"/>
        <w:jc w:val="start"/>
        <w:rPr/>
      </w:pPr>
      <w:r>
        <w:rPr/>
      </w:r>
    </w:p>
    <w:p>
      <w:pPr>
        <w:pStyle w:val="Normal"/>
        <w:bidi w:val="0"/>
        <w:jc w:val="start"/>
        <w:rPr/>
      </w:pPr>
      <w:r>
        <w:rPr/>
        <w:t>1 € =  TZS 2152</w:t>
      </w:r>
    </w:p>
    <w:p>
      <w:pPr>
        <w:pStyle w:val="Normal"/>
        <w:bidi w:val="0"/>
        <w:jc w:val="start"/>
        <w:rPr/>
      </w:pPr>
      <w:r>
        <w:rPr/>
        <w:t>? €  =  TZS 5000000</w:t>
      </w:r>
    </w:p>
    <w:p>
      <w:pPr>
        <w:pStyle w:val="Normal"/>
        <w:bidi w:val="0"/>
        <w:jc w:val="start"/>
        <w:rPr/>
      </w:pPr>
      <w:r>
        <w:rPr/>
      </w:r>
    </w:p>
    <w:p>
      <w:pPr>
        <w:pStyle w:val="Normal"/>
        <w:bidi w:val="0"/>
        <w:jc w:val="start"/>
        <w:rPr/>
      </w:pPr>
      <w:r>
        <w:rPr/>
        <w:t>= (TZS 5000000 X 1 € ) / TZS 2152</w:t>
      </w:r>
    </w:p>
    <w:p>
      <w:pPr>
        <w:pStyle w:val="Normal"/>
        <w:bidi w:val="0"/>
        <w:jc w:val="start"/>
        <w:rPr/>
      </w:pPr>
      <w:r>
        <w:rPr/>
        <w:t>=€ 2323.4201</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bidi w:val="0"/>
        <w:jc w:val="start"/>
        <w:rPr/>
      </w:pPr>
      <w:r>
        <w:rPr/>
        <w:t>7. The cost in TZS to the dealer upon buying €5,000 from a customer spot.</w:t>
      </w:r>
    </w:p>
    <w:p>
      <w:pPr>
        <w:pStyle w:val="BodyText"/>
        <w:rPr/>
      </w:pPr>
      <w:r>
        <w:rPr/>
        <w:t>Given:</w:t>
      </w:r>
    </w:p>
    <w:p>
      <w:pPr>
        <w:pStyle w:val="BodyText"/>
        <w:numPr>
          <w:ilvl w:val="0"/>
          <w:numId w:val="2"/>
        </w:numPr>
        <w:tabs>
          <w:tab w:val="clear" w:pos="709"/>
          <w:tab w:val="left" w:pos="0" w:leader="none"/>
        </w:tabs>
        <w:spacing w:before="0" w:after="0"/>
        <w:ind w:hanging="283" w:start="709"/>
        <w:rPr/>
      </w:pPr>
      <w:r>
        <w:rPr/>
        <w:t xml:space="preserve">€ </w:t>
      </w:r>
      <w:r>
        <w:rPr/>
        <w:t xml:space="preserve">/ £ Bid Spot: 2.5 (from </w:t>
      </w:r>
      <w:r>
        <w:rPr/>
        <w:t>the</w:t>
      </w:r>
      <w:r>
        <w:rPr/>
        <w:t>expression of £ in terms of €)</w:t>
      </w:r>
    </w:p>
    <w:p>
      <w:pPr>
        <w:pStyle w:val="BodyText"/>
        <w:numPr>
          <w:ilvl w:val="0"/>
          <w:numId w:val="2"/>
        </w:numPr>
        <w:tabs>
          <w:tab w:val="clear" w:pos="709"/>
          <w:tab w:val="left" w:pos="0" w:leader="none"/>
        </w:tabs>
        <w:spacing w:before="0" w:after="0"/>
        <w:ind w:hanging="283" w:start="709"/>
        <w:rPr/>
      </w:pPr>
      <w:r>
        <w:rPr/>
        <w:t xml:space="preserve">€ </w:t>
      </w:r>
      <w:r>
        <w:rPr/>
        <w:t xml:space="preserve">/ £ Ask Spot: 4.0 (from </w:t>
      </w:r>
      <w:r>
        <w:rPr/>
        <w:t xml:space="preserve">the </w:t>
      </w:r>
      <w:r>
        <w:rPr/>
        <w:t>expression of £ in terms of €)</w:t>
      </w:r>
    </w:p>
    <w:p>
      <w:pPr>
        <w:pStyle w:val="BodyText"/>
        <w:numPr>
          <w:ilvl w:val="0"/>
          <w:numId w:val="2"/>
        </w:numPr>
        <w:tabs>
          <w:tab w:val="clear" w:pos="709"/>
          <w:tab w:val="left" w:pos="0" w:leader="none"/>
        </w:tabs>
        <w:ind w:hanging="283" w:start="709"/>
        <w:rPr/>
      </w:pPr>
      <w:r>
        <w:rPr/>
        <w:t xml:space="preserve">€ </w:t>
      </w:r>
      <w:r>
        <w:rPr/>
        <w:t xml:space="preserve">/ TZS Bid Spot: 1040 (from </w:t>
      </w:r>
      <w:r>
        <w:rPr/>
        <w:t>the</w:t>
      </w:r>
      <w:r>
        <w:rPr/>
        <w:t xml:space="preserve"> calculation in the cross rate for TZS/€ ask spot)</w:t>
      </w:r>
    </w:p>
    <w:p>
      <w:pPr>
        <w:pStyle w:val="BodyText"/>
        <w:rPr/>
      </w:pPr>
      <w:r>
        <w:rPr/>
        <w:t>The dealer is buying €5,000 from a customer, so the cost to the dealer is calculated using the Bid rate:</w:t>
      </w:r>
    </w:p>
    <w:p>
      <w:pPr>
        <w:pStyle w:val="BodyText"/>
        <w:ind w:hanging="0" w:start="0" w:end="0"/>
        <w:rPr/>
      </w:pPr>
      <w:r>
        <w:rPr/>
        <w:t>Cost in TZS to the Dealer=Amount in Euros×Bid Rate</w:t>
      </w:r>
    </w:p>
    <w:p>
      <w:pPr>
        <w:pStyle w:val="BodyText"/>
        <w:ind w:hanging="0" w:start="0" w:end="0"/>
        <w:rPr/>
      </w:pPr>
      <w:r>
        <w:rPr/>
        <w:t>Cost in TZS to the Dealer=5000euros×1040TZS/€</w:t>
      </w:r>
    </w:p>
    <w:p>
      <w:pPr>
        <w:pStyle w:val="BodyText"/>
        <w:ind w:hanging="0" w:start="0" w:end="0"/>
        <w:rPr/>
      </w:pPr>
      <w:r>
        <w:rPr/>
        <w:t>Cost in TZS to the Dealer=5,200,000TZS</w:t>
      </w:r>
    </w:p>
    <w:p>
      <w:pPr>
        <w:pStyle w:val="BodyText"/>
        <w:rPr/>
      </w:pPr>
      <w:r>
        <w:rPr/>
        <w:t>Therefore, the cost in TZS to the dealer upon buying €5,000 from a customer spot is TZS 5,200,000.</w:t>
      </w:r>
    </w:p>
    <w:p>
      <w:pPr>
        <w:pStyle w:val="Heading3"/>
        <w:rPr/>
      </w:pPr>
      <w:r>
        <w:rPr/>
        <w:t>8. The value in € to the dealer upon buying TZS5,000,000 from a customer one year forward.</w:t>
      </w:r>
    </w:p>
    <w:p>
      <w:pPr>
        <w:pStyle w:val="BodyText"/>
        <w:rPr/>
      </w:pPr>
      <w:r>
        <w:rPr/>
        <w:t>Given:</w:t>
      </w:r>
    </w:p>
    <w:p>
      <w:pPr>
        <w:pStyle w:val="BodyText"/>
        <w:numPr>
          <w:ilvl w:val="0"/>
          <w:numId w:val="3"/>
        </w:numPr>
        <w:tabs>
          <w:tab w:val="clear" w:pos="709"/>
          <w:tab w:val="left" w:pos="0" w:leader="none"/>
        </w:tabs>
        <w:spacing w:before="0" w:after="0"/>
        <w:ind w:hanging="283" w:start="709"/>
        <w:rPr/>
      </w:pPr>
      <w:r>
        <w:rPr/>
        <w:t xml:space="preserve">TZS / € Ask Spot: 1040 (from </w:t>
      </w:r>
      <w:r>
        <w:rPr/>
        <w:t>the</w:t>
      </w:r>
      <w:r>
        <w:rPr/>
        <w:t xml:space="preserve"> calculation in the cross rate for TZS/€ ask spot)</w:t>
      </w:r>
    </w:p>
    <w:p>
      <w:pPr>
        <w:pStyle w:val="BodyText"/>
        <w:numPr>
          <w:ilvl w:val="0"/>
          <w:numId w:val="3"/>
        </w:numPr>
        <w:tabs>
          <w:tab w:val="clear" w:pos="709"/>
          <w:tab w:val="left" w:pos="0" w:leader="none"/>
        </w:tabs>
        <w:ind w:hanging="283" w:start="709"/>
        <w:rPr/>
      </w:pPr>
      <w:r>
        <w:rPr/>
        <w:t xml:space="preserve">TZS / € 1 Year Forward Ask: 2152 (from </w:t>
      </w:r>
      <w:r>
        <w:rPr/>
        <w:t xml:space="preserve">the </w:t>
      </w:r>
      <w:r>
        <w:rPr/>
        <w:t>calculation in the cross rate in forward rates for TZS/€)</w:t>
      </w:r>
    </w:p>
    <w:p>
      <w:pPr>
        <w:pStyle w:val="BodyText"/>
        <w:rPr/>
      </w:pPr>
      <w:r>
        <w:rPr/>
        <w:t>The dealer is buying TZS5,000,000 from a customer one year forward, so the value to the dealer is calculated using the  Year Forward Ask rate:</w:t>
      </w:r>
    </w:p>
    <w:p>
      <w:pPr>
        <w:pStyle w:val="BodyText"/>
        <w:ind w:hanging="0" w:start="0" w:end="0"/>
        <w:rPr/>
      </w:pPr>
      <w:r>
        <w:rPr/>
        <w:t>Value in Euros to the Dealer=Amount in TZS×1 Year Forward Ask Rate</w:t>
      </w:r>
    </w:p>
    <w:p>
      <w:pPr>
        <w:pStyle w:val="BodyText"/>
        <w:ind w:hanging="0" w:start="0" w:end="0"/>
        <w:rPr/>
      </w:pPr>
      <w:r>
        <w:rPr/>
        <w:t>Value in Euros to theDealer=5,000,000TZS×21521​€/TZS</w:t>
      </w:r>
    </w:p>
    <w:p>
      <w:pPr>
        <w:pStyle w:val="BodyText"/>
        <w:ind w:hanging="0" w:start="0" w:end="0"/>
        <w:rPr/>
      </w:pPr>
      <w:r>
        <w:rPr/>
        <w:t>Value in Euros to the Dealer≈2323.42€</w:t>
      </w:r>
    </w:p>
    <w:p>
      <w:pPr>
        <w:pStyle w:val="BodyText"/>
        <w:rPr/>
      </w:pPr>
      <w:r>
        <w:rPr/>
        <w:t>Therefore, the value in € to the dealer upon buying TZS5,000,000 from a customer one year forward is approximately € 2323.42.</w:t>
      </w:r>
    </w:p>
    <w:p>
      <w:pPr>
        <w:pStyle w:val="Normal"/>
        <w:bidi w:val="0"/>
        <w:jc w:val="start"/>
        <w:rPr>
          <w:b/>
          <w:bCs/>
        </w:rPr>
      </w:pPr>
      <w:r>
        <w:rPr>
          <w:b/>
          <w:bCs/>
        </w:rPr>
      </w:r>
    </w:p>
    <w:p>
      <w:pPr>
        <w:pStyle w:val="Normal"/>
        <w:bidi w:val="0"/>
        <w:jc w:val="start"/>
        <w:rPr>
          <w:b/>
          <w:bCs/>
        </w:rPr>
      </w:pPr>
      <w:r>
        <w:rPr>
          <w:b/>
          <w:bCs/>
        </w:rPr>
        <w:t>9. Use mid rates to determine the one-year forward premium or discount on the £ relative to the €.</w:t>
      </w:r>
    </w:p>
    <w:p>
      <w:pPr>
        <w:pStyle w:val="Normal"/>
        <w:bidi w:val="0"/>
        <w:jc w:val="start"/>
        <w:rPr>
          <w:b/>
          <w:bCs/>
        </w:rPr>
      </w:pPr>
      <w:r>
        <w:rPr>
          <w:b/>
          <w:bCs/>
        </w:rPr>
      </w:r>
    </w:p>
    <w:p>
      <w:pPr>
        <w:pStyle w:val="Normal"/>
        <w:bidi w:val="0"/>
        <w:jc w:val="start"/>
        <w:rPr/>
      </w:pPr>
      <w:r>
        <w:rPr/>
        <w:t xml:space="preserve">   </w:t>
      </w:r>
      <w:r>
        <w:rPr/>
        <w:t>Mid rate for £/€ = (0.25 + 0.40) / 2 = 0.325</w:t>
      </w:r>
    </w:p>
    <w:p>
      <w:pPr>
        <w:pStyle w:val="Normal"/>
        <w:bidi w:val="0"/>
        <w:jc w:val="start"/>
        <w:rPr/>
      </w:pPr>
      <w:r>
        <w:rPr/>
      </w:r>
    </w:p>
    <w:p>
      <w:pPr>
        <w:pStyle w:val="Normal"/>
        <w:bidi w:val="0"/>
        <w:jc w:val="start"/>
        <w:rPr/>
      </w:pPr>
      <w:r>
        <w:rPr/>
        <w:t xml:space="preserve">   </w:t>
      </w:r>
      <w:r>
        <w:rPr/>
        <w:t>1-year forward mid rate for £/€ = (0.50 + 0.80) / 2 = 0.65</w:t>
      </w:r>
    </w:p>
    <w:p>
      <w:pPr>
        <w:pStyle w:val="Normal"/>
        <w:bidi w:val="0"/>
        <w:jc w:val="start"/>
        <w:rPr/>
      </w:pPr>
      <w:r>
        <w:rPr/>
      </w:r>
    </w:p>
    <w:p>
      <w:pPr>
        <w:pStyle w:val="Normal"/>
        <w:bidi w:val="0"/>
        <w:jc w:val="start"/>
        <w:rPr/>
      </w:pPr>
      <w:r>
        <w:rPr/>
        <w:t xml:space="preserve">   </w:t>
      </w:r>
      <w:r>
        <w:rPr/>
        <w:t>Forward premium or discount = (Forward rate - Spot rate) / Spot rate  = (0.65 – 0.325) / 0.325</w:t>
      </w:r>
    </w:p>
    <w:p>
      <w:pPr>
        <w:pStyle w:val="Normal"/>
        <w:bidi w:val="0"/>
        <w:jc w:val="start"/>
        <w:rPr/>
      </w:pPr>
      <w:r>
        <w:rPr/>
      </w:r>
    </w:p>
    <w:p>
      <w:pPr>
        <w:pStyle w:val="Normal"/>
        <w:bidi w:val="0"/>
        <w:jc w:val="start"/>
        <w:rPr/>
      </w:pPr>
      <w:r>
        <w:rPr/>
        <w:t xml:space="preserve">   </w:t>
      </w:r>
      <w:r>
        <w:rPr/>
        <w:t>= 0.3 or 30%</w:t>
      </w:r>
    </w:p>
    <w:p>
      <w:pPr>
        <w:pStyle w:val="Normal"/>
        <w:bidi w:val="0"/>
        <w:jc w:val="start"/>
        <w:rPr/>
      </w:pPr>
      <w:r>
        <w:rPr/>
      </w:r>
    </w:p>
    <w:p>
      <w:pPr>
        <w:pStyle w:val="Normal"/>
        <w:bidi w:val="0"/>
        <w:jc w:val="start"/>
        <w:rPr/>
      </w:pPr>
      <w:r>
        <w:rPr/>
        <w:t xml:space="preserve">   </w:t>
      </w:r>
      <w:r>
        <w:rPr/>
        <w:t>Therefore, the one-year forward premium on the £ relative to the € is 30%.</w:t>
      </w:r>
    </w:p>
    <w:p>
      <w:pPr>
        <w:pStyle w:val="Normal"/>
        <w:bidi w:val="0"/>
        <w:jc w:val="start"/>
        <w:rPr/>
      </w:pPr>
      <w:r>
        <w:rPr/>
      </w:r>
    </w:p>
    <w:p>
      <w:pPr>
        <w:pStyle w:val="Normal"/>
        <w:bidi w:val="0"/>
        <w:jc w:val="start"/>
        <w:rPr>
          <w:b/>
          <w:bCs/>
        </w:rPr>
      </w:pPr>
      <w:r>
        <w:rPr>
          <w:b/>
          <w:bCs/>
        </w:rPr>
        <w:t>10. Use mid rates to determine the one-year forward premium or discount on the TZS relative to the €.</w:t>
      </w:r>
    </w:p>
    <w:p>
      <w:pPr>
        <w:pStyle w:val="Normal"/>
        <w:bidi w:val="0"/>
        <w:jc w:val="start"/>
        <w:rPr>
          <w:b/>
          <w:bCs/>
        </w:rPr>
      </w:pPr>
      <w:r>
        <w:rPr>
          <w:b/>
          <w:bCs/>
        </w:rPr>
      </w:r>
    </w:p>
    <w:p>
      <w:pPr>
        <w:pStyle w:val="Normal"/>
        <w:bidi w:val="0"/>
        <w:jc w:val="start"/>
        <w:rPr/>
      </w:pPr>
      <w:r>
        <w:rPr/>
        <w:t xml:space="preserve">   </w:t>
      </w:r>
      <w:r>
        <w:rPr/>
        <w:t>Mid rate for TZS/€ = (625 + 1040) / 2 = 832.5</w:t>
      </w:r>
    </w:p>
    <w:p>
      <w:pPr>
        <w:pStyle w:val="Normal"/>
        <w:bidi w:val="0"/>
        <w:jc w:val="start"/>
        <w:rPr/>
      </w:pPr>
      <w:r>
        <w:rPr/>
        <w:t xml:space="preserve">   </w:t>
      </w:r>
    </w:p>
    <w:p>
      <w:pPr>
        <w:pStyle w:val="Normal"/>
        <w:bidi w:val="0"/>
        <w:jc w:val="start"/>
        <w:rPr/>
      </w:pPr>
      <w:r>
        <w:rPr/>
        <w:t xml:space="preserve">   </w:t>
      </w:r>
      <w:r>
        <w:rPr/>
        <w:t>1-year forward mid rate for T</w:t>
      </w:r>
      <w:r>
        <w:rPr/>
        <w:t>ZS</w:t>
      </w:r>
      <w:r>
        <w:rPr/>
        <w:t>/€ = (1325 + 2152) / 2 = 1738.5</w:t>
      </w:r>
    </w:p>
    <w:p>
      <w:pPr>
        <w:pStyle w:val="Normal"/>
        <w:bidi w:val="0"/>
        <w:jc w:val="start"/>
        <w:rPr/>
      </w:pPr>
      <w:r>
        <w:rPr/>
      </w:r>
    </w:p>
    <w:p>
      <w:pPr>
        <w:pStyle w:val="Normal"/>
        <w:bidi w:val="0"/>
        <w:jc w:val="start"/>
        <w:rPr/>
      </w:pPr>
      <w:r>
        <w:rPr/>
        <w:t xml:space="preserve">   </w:t>
      </w:r>
      <w:r>
        <w:rPr/>
        <w:t>Forward premium or discount = (Forward rate – Spot rate) / Spot rate</w:t>
      </w:r>
    </w:p>
    <w:p>
      <w:pPr>
        <w:pStyle w:val="Normal"/>
        <w:bidi w:val="0"/>
        <w:jc w:val="start"/>
        <w:rPr/>
      </w:pPr>
      <w:r>
        <w:rPr/>
      </w:r>
    </w:p>
    <w:p>
      <w:pPr>
        <w:pStyle w:val="Normal"/>
        <w:bidi w:val="0"/>
        <w:jc w:val="start"/>
        <w:rPr/>
      </w:pPr>
      <w:r>
        <w:rPr/>
        <w:t xml:space="preserve">   </w:t>
      </w:r>
      <w:r>
        <w:rPr/>
        <w:t>= (1738.5 – 832.5) / 832.5</w:t>
      </w:r>
    </w:p>
    <w:p>
      <w:pPr>
        <w:pStyle w:val="Normal"/>
        <w:bidi w:val="0"/>
        <w:jc w:val="start"/>
        <w:rPr/>
      </w:pPr>
      <w:r>
        <w:rPr/>
      </w:r>
    </w:p>
    <w:p>
      <w:pPr>
        <w:pStyle w:val="Normal"/>
        <w:bidi w:val="0"/>
        <w:jc w:val="start"/>
        <w:rPr/>
      </w:pPr>
      <w:r>
        <w:rPr/>
        <w:t xml:space="preserve">   </w:t>
      </w:r>
      <w:r>
        <w:rPr/>
        <w:t>= 1.086 or 108.6%</w:t>
      </w:r>
    </w:p>
    <w:p>
      <w:pPr>
        <w:pStyle w:val="Normal"/>
        <w:bidi w:val="0"/>
        <w:jc w:val="start"/>
        <w:rPr/>
      </w:pPr>
      <w:r>
        <w:rPr/>
      </w:r>
    </w:p>
    <w:p>
      <w:pPr>
        <w:pStyle w:val="Normal"/>
        <w:bidi w:val="0"/>
        <w:jc w:val="start"/>
        <w:rPr/>
      </w:pPr>
      <w:r>
        <w:rPr/>
        <w:t xml:space="preserve">   </w:t>
      </w:r>
      <w:r>
        <w:rPr/>
        <w:t>Therefore, the one-year forward premium on the TZS relative to the € is 108.6%.</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 xml:space="preserve">QUESTION TWO </w:t>
      </w:r>
    </w:p>
    <w:p>
      <w:pPr>
        <w:pStyle w:val="Normal"/>
        <w:bidi w:val="0"/>
        <w:jc w:val="start"/>
        <w:rPr>
          <w:b/>
          <w:bCs/>
        </w:rPr>
      </w:pPr>
      <w:r>
        <w:rPr>
          <w:b/>
          <w:bCs/>
        </w:rPr>
        <w:t>1. The risk and return associated with investment in each of the individual capital</w:t>
      </w:r>
    </w:p>
    <w:p>
      <w:pPr>
        <w:pStyle w:val="Normal"/>
        <w:bidi w:val="0"/>
        <w:jc w:val="start"/>
        <w:rPr>
          <w:b/>
          <w:bCs/>
        </w:rPr>
      </w:pPr>
      <w:r>
        <w:rPr>
          <w:b/>
          <w:bCs/>
        </w:rPr>
        <w:t>markets.</w:t>
      </w:r>
    </w:p>
    <w:p>
      <w:pPr>
        <w:pStyle w:val="Normal"/>
        <w:bidi w:val="0"/>
        <w:jc w:val="start"/>
        <w:rPr>
          <w:b/>
          <w:bCs/>
        </w:rPr>
      </w:pPr>
      <w:r>
        <w:rPr>
          <w:b/>
          <w:bCs/>
        </w:rPr>
      </w:r>
    </w:p>
    <w:p>
      <w:pPr>
        <w:pStyle w:val="Normal"/>
        <w:bidi w:val="0"/>
        <w:jc w:val="start"/>
        <w:rPr>
          <w:b/>
          <w:bCs/>
        </w:rPr>
      </w:pPr>
      <w:r>
        <w:rPr>
          <w:b/>
          <w:bCs/>
        </w:rPr>
        <w:t>I) Risk  and return of south Africa</w:t>
      </w:r>
    </w:p>
    <w:p>
      <w:pPr>
        <w:pStyle w:val="Normal"/>
        <w:bidi w:val="0"/>
        <w:jc w:val="start"/>
        <w:rPr>
          <w:b/>
          <w:bCs/>
        </w:rPr>
      </w:pPr>
      <w:r>
        <w:rPr>
          <w:b/>
          <w:bCs/>
        </w:rPr>
      </w:r>
    </w:p>
    <w:tbl>
      <w:tblPr>
        <w:tblW w:w="5000" w:type="pct"/>
        <w:jc w:val="start"/>
        <w:tblInd w:w="-5" w:type="dxa"/>
        <w:tblLayout w:type="fixed"/>
        <w:tblCellMar>
          <w:top w:w="55" w:type="dxa"/>
          <w:start w:w="55" w:type="dxa"/>
          <w:bottom w:w="55" w:type="dxa"/>
          <w:end w:w="55" w:type="dxa"/>
        </w:tblCellMar>
      </w:tblPr>
      <w:tblGrid>
        <w:gridCol w:w="1994"/>
        <w:gridCol w:w="1994"/>
        <w:gridCol w:w="1995"/>
        <w:gridCol w:w="1994"/>
        <w:gridCol w:w="1995"/>
      </w:tblGrid>
      <w:tr>
        <w:trPr/>
        <w:tc>
          <w:tcPr>
            <w:tcW w:w="1994" w:type="dxa"/>
            <w:tcBorders>
              <w:top w:val="single" w:sz="4" w:space="0" w:color="000000"/>
              <w:start w:val="single" w:sz="4" w:space="0" w:color="000000"/>
              <w:bottom w:val="single" w:sz="4" w:space="0" w:color="000000"/>
            </w:tcBorders>
          </w:tcPr>
          <w:p>
            <w:pPr>
              <w:pStyle w:val="TableContents"/>
              <w:rPr/>
            </w:pPr>
            <w:r>
              <w:rPr/>
              <w:t xml:space="preserve">P </w:t>
            </w:r>
          </w:p>
        </w:tc>
        <w:tc>
          <w:tcPr>
            <w:tcW w:w="1994" w:type="dxa"/>
            <w:tcBorders>
              <w:top w:val="single" w:sz="4" w:space="0" w:color="000000"/>
              <w:start w:val="single" w:sz="4" w:space="0" w:color="000000"/>
              <w:bottom w:val="single" w:sz="4" w:space="0" w:color="000000"/>
            </w:tcBorders>
          </w:tcPr>
          <w:p>
            <w:pPr>
              <w:pStyle w:val="TableContents"/>
              <w:rPr/>
            </w:pPr>
            <w:r>
              <w:rPr/>
              <w:t>Xi</w:t>
            </w:r>
          </w:p>
        </w:tc>
        <w:tc>
          <w:tcPr>
            <w:tcW w:w="1995" w:type="dxa"/>
            <w:tcBorders>
              <w:top w:val="single" w:sz="4" w:space="0" w:color="000000"/>
              <w:start w:val="single" w:sz="4" w:space="0" w:color="000000"/>
              <w:bottom w:val="single" w:sz="4" w:space="0" w:color="000000"/>
            </w:tcBorders>
          </w:tcPr>
          <w:p>
            <w:pPr>
              <w:pStyle w:val="TableContents"/>
              <w:rPr/>
            </w:pPr>
            <w:r>
              <w:rPr/>
              <w:t>Xi -mean</w:t>
            </w:r>
          </w:p>
        </w:tc>
        <w:tc>
          <w:tcPr>
            <w:tcW w:w="1994" w:type="dxa"/>
            <w:tcBorders>
              <w:top w:val="single" w:sz="4" w:space="0" w:color="000000"/>
              <w:start w:val="single" w:sz="4" w:space="0" w:color="000000"/>
              <w:bottom w:val="single" w:sz="4" w:space="0" w:color="000000"/>
            </w:tcBorders>
          </w:tcPr>
          <w:p>
            <w:pPr>
              <w:pStyle w:val="TableContents"/>
              <w:rPr/>
            </w:pPr>
            <w:r>
              <w:rPr/>
              <w:t>(Xi -mean)^2</w:t>
            </w:r>
          </w:p>
        </w:tc>
        <w:tc>
          <w:tcPr>
            <w:tcW w:w="1995" w:type="dxa"/>
            <w:tcBorders>
              <w:top w:val="single" w:sz="4" w:space="0" w:color="000000"/>
              <w:start w:val="single" w:sz="4" w:space="0" w:color="000000"/>
              <w:bottom w:val="single" w:sz="4" w:space="0" w:color="000000"/>
              <w:end w:val="single" w:sz="4" w:space="0" w:color="000000"/>
            </w:tcBorders>
          </w:tcPr>
          <w:p>
            <w:pPr>
              <w:pStyle w:val="TableContents"/>
              <w:rPr/>
            </w:pPr>
            <w:r>
              <w:rPr/>
              <w:t>P(Xi -mean)^2</w:t>
            </w:r>
          </w:p>
        </w:tc>
      </w:tr>
      <w:tr>
        <w:trPr/>
        <w:tc>
          <w:tcPr>
            <w:tcW w:w="1994" w:type="dxa"/>
            <w:tcBorders>
              <w:start w:val="single" w:sz="4" w:space="0" w:color="000000"/>
              <w:bottom w:val="single" w:sz="4" w:space="0" w:color="000000"/>
            </w:tcBorders>
          </w:tcPr>
          <w:p>
            <w:pPr>
              <w:pStyle w:val="TableContents"/>
              <w:rPr/>
            </w:pPr>
            <w:r>
              <w:rPr/>
              <w:t>0.1</w:t>
            </w:r>
          </w:p>
        </w:tc>
        <w:tc>
          <w:tcPr>
            <w:tcW w:w="1994" w:type="dxa"/>
            <w:tcBorders>
              <w:start w:val="single" w:sz="4" w:space="0" w:color="000000"/>
              <w:bottom w:val="single" w:sz="4" w:space="0" w:color="000000"/>
            </w:tcBorders>
          </w:tcPr>
          <w:p>
            <w:pPr>
              <w:pStyle w:val="TableContents"/>
              <w:rPr/>
            </w:pPr>
            <w:r>
              <w:rPr/>
              <w:t>10%</w:t>
            </w:r>
          </w:p>
        </w:tc>
        <w:tc>
          <w:tcPr>
            <w:tcW w:w="1995" w:type="dxa"/>
            <w:tcBorders>
              <w:start w:val="single" w:sz="4" w:space="0" w:color="000000"/>
              <w:bottom w:val="single" w:sz="4" w:space="0" w:color="000000"/>
            </w:tcBorders>
          </w:tcPr>
          <w:p>
            <w:pPr>
              <w:pStyle w:val="TableContents"/>
              <w:rPr/>
            </w:pPr>
            <w:r>
              <w:rPr/>
              <w:t>-</w:t>
            </w:r>
            <w:r>
              <w:rPr/>
              <w:t>2.7%</w:t>
            </w:r>
          </w:p>
        </w:tc>
        <w:tc>
          <w:tcPr>
            <w:tcW w:w="1994" w:type="dxa"/>
            <w:tcBorders>
              <w:start w:val="single" w:sz="4" w:space="0" w:color="000000"/>
              <w:bottom w:val="single" w:sz="4" w:space="0" w:color="000000"/>
            </w:tcBorders>
          </w:tcPr>
          <w:p>
            <w:pPr>
              <w:pStyle w:val="TableContents"/>
              <w:rPr/>
            </w:pPr>
            <w:r>
              <w:rPr/>
              <w:t>7.29%</w:t>
            </w:r>
          </w:p>
        </w:tc>
        <w:tc>
          <w:tcPr>
            <w:tcW w:w="1995" w:type="dxa"/>
            <w:tcBorders>
              <w:start w:val="single" w:sz="4" w:space="0" w:color="000000"/>
              <w:bottom w:val="single" w:sz="4" w:space="0" w:color="000000"/>
              <w:end w:val="single" w:sz="4" w:space="0" w:color="000000"/>
            </w:tcBorders>
          </w:tcPr>
          <w:p>
            <w:pPr>
              <w:pStyle w:val="TableContents"/>
              <w:rPr/>
            </w:pPr>
            <w:r>
              <w:rPr/>
              <w:t>0.729%</w:t>
            </w:r>
          </w:p>
        </w:tc>
      </w:tr>
      <w:tr>
        <w:trPr/>
        <w:tc>
          <w:tcPr>
            <w:tcW w:w="1994" w:type="dxa"/>
            <w:tcBorders>
              <w:start w:val="single" w:sz="4" w:space="0" w:color="000000"/>
              <w:bottom w:val="single" w:sz="4" w:space="0" w:color="000000"/>
            </w:tcBorders>
          </w:tcPr>
          <w:p>
            <w:pPr>
              <w:pStyle w:val="TableContents"/>
              <w:rPr/>
            </w:pPr>
            <w:r>
              <w:rPr/>
              <w:t>0.6</w:t>
            </w:r>
          </w:p>
        </w:tc>
        <w:tc>
          <w:tcPr>
            <w:tcW w:w="1994" w:type="dxa"/>
            <w:tcBorders>
              <w:start w:val="single" w:sz="4" w:space="0" w:color="000000"/>
              <w:bottom w:val="single" w:sz="4" w:space="0" w:color="000000"/>
            </w:tcBorders>
          </w:tcPr>
          <w:p>
            <w:pPr>
              <w:pStyle w:val="TableContents"/>
              <w:rPr/>
            </w:pPr>
            <w:r>
              <w:rPr/>
              <w:t>12%</w:t>
            </w:r>
          </w:p>
        </w:tc>
        <w:tc>
          <w:tcPr>
            <w:tcW w:w="1995" w:type="dxa"/>
            <w:tcBorders>
              <w:start w:val="single" w:sz="4" w:space="0" w:color="000000"/>
              <w:bottom w:val="single" w:sz="4" w:space="0" w:color="000000"/>
            </w:tcBorders>
          </w:tcPr>
          <w:p>
            <w:pPr>
              <w:pStyle w:val="TableContents"/>
              <w:rPr/>
            </w:pPr>
            <w:r>
              <w:rPr/>
              <w:t>-</w:t>
            </w:r>
            <w:r>
              <w:rPr/>
              <w:t>0.7%</w:t>
            </w:r>
          </w:p>
        </w:tc>
        <w:tc>
          <w:tcPr>
            <w:tcW w:w="1994" w:type="dxa"/>
            <w:tcBorders>
              <w:start w:val="single" w:sz="4" w:space="0" w:color="000000"/>
              <w:bottom w:val="single" w:sz="4" w:space="0" w:color="000000"/>
            </w:tcBorders>
          </w:tcPr>
          <w:p>
            <w:pPr>
              <w:pStyle w:val="TableContents"/>
              <w:rPr/>
            </w:pPr>
            <w:r>
              <w:rPr/>
              <w:t>0.49%</w:t>
            </w:r>
          </w:p>
        </w:tc>
        <w:tc>
          <w:tcPr>
            <w:tcW w:w="1995" w:type="dxa"/>
            <w:tcBorders>
              <w:start w:val="single" w:sz="4" w:space="0" w:color="000000"/>
              <w:bottom w:val="single" w:sz="4" w:space="0" w:color="000000"/>
              <w:end w:val="single" w:sz="4" w:space="0" w:color="000000"/>
            </w:tcBorders>
          </w:tcPr>
          <w:p>
            <w:pPr>
              <w:pStyle w:val="TableContents"/>
              <w:rPr/>
            </w:pPr>
            <w:r>
              <w:rPr/>
              <w:t>0.293%</w:t>
            </w:r>
          </w:p>
        </w:tc>
      </w:tr>
      <w:tr>
        <w:trPr/>
        <w:tc>
          <w:tcPr>
            <w:tcW w:w="1994" w:type="dxa"/>
            <w:tcBorders>
              <w:start w:val="single" w:sz="4" w:space="0" w:color="000000"/>
              <w:bottom w:val="single" w:sz="4" w:space="0" w:color="000000"/>
            </w:tcBorders>
          </w:tcPr>
          <w:p>
            <w:pPr>
              <w:pStyle w:val="TableContents"/>
              <w:rPr/>
            </w:pPr>
            <w:r>
              <w:rPr/>
              <w:t>0.3</w:t>
            </w:r>
          </w:p>
        </w:tc>
        <w:tc>
          <w:tcPr>
            <w:tcW w:w="1994" w:type="dxa"/>
            <w:tcBorders>
              <w:start w:val="single" w:sz="4" w:space="0" w:color="000000"/>
              <w:bottom w:val="single" w:sz="4" w:space="0" w:color="000000"/>
            </w:tcBorders>
          </w:tcPr>
          <w:p>
            <w:pPr>
              <w:pStyle w:val="TableContents"/>
              <w:rPr/>
            </w:pPr>
            <w:r>
              <w:rPr/>
              <w:t>15%</w:t>
            </w:r>
          </w:p>
        </w:tc>
        <w:tc>
          <w:tcPr>
            <w:tcW w:w="1995" w:type="dxa"/>
            <w:tcBorders>
              <w:start w:val="single" w:sz="4" w:space="0" w:color="000000"/>
              <w:bottom w:val="single" w:sz="4" w:space="0" w:color="000000"/>
            </w:tcBorders>
          </w:tcPr>
          <w:p>
            <w:pPr>
              <w:pStyle w:val="TableContents"/>
              <w:rPr/>
            </w:pPr>
            <w:r>
              <w:rPr/>
              <w:t>2.3%</w:t>
            </w:r>
          </w:p>
        </w:tc>
        <w:tc>
          <w:tcPr>
            <w:tcW w:w="1994" w:type="dxa"/>
            <w:tcBorders>
              <w:start w:val="single" w:sz="4" w:space="0" w:color="000000"/>
              <w:bottom w:val="single" w:sz="4" w:space="0" w:color="000000"/>
            </w:tcBorders>
          </w:tcPr>
          <w:p>
            <w:pPr>
              <w:pStyle w:val="TableContents"/>
              <w:rPr/>
            </w:pPr>
            <w:r>
              <w:rPr/>
              <w:t>5.29%</w:t>
            </w:r>
          </w:p>
        </w:tc>
        <w:tc>
          <w:tcPr>
            <w:tcW w:w="1995" w:type="dxa"/>
            <w:tcBorders>
              <w:start w:val="single" w:sz="4" w:space="0" w:color="000000"/>
              <w:bottom w:val="single" w:sz="4" w:space="0" w:color="000000"/>
              <w:end w:val="single" w:sz="4" w:space="0" w:color="000000"/>
            </w:tcBorders>
          </w:tcPr>
          <w:p>
            <w:pPr>
              <w:pStyle w:val="TableContents"/>
              <w:rPr/>
            </w:pPr>
            <w:r>
              <w:rPr/>
              <w:t>1.587%</w:t>
            </w:r>
          </w:p>
        </w:tc>
      </w:tr>
      <w:tr>
        <w:trPr/>
        <w:tc>
          <w:tcPr>
            <w:tcW w:w="1994"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t>Mean =  12.7%</w:t>
            </w:r>
          </w:p>
        </w:tc>
        <w:tc>
          <w:tcPr>
            <w:tcW w:w="1995"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r>
          </w:p>
        </w:tc>
        <w:tc>
          <w:tcPr>
            <w:tcW w:w="1995" w:type="dxa"/>
            <w:tcBorders>
              <w:start w:val="single" w:sz="4" w:space="0" w:color="000000"/>
              <w:bottom w:val="single" w:sz="4" w:space="0" w:color="000000"/>
              <w:end w:val="single" w:sz="4" w:space="0" w:color="000000"/>
            </w:tcBorders>
          </w:tcPr>
          <w:p>
            <w:pPr>
              <w:pStyle w:val="TableContents"/>
              <w:rPr/>
            </w:pPr>
            <w:r>
              <w:rPr/>
              <w:t>∑</w:t>
            </w:r>
            <w:r>
              <w:rPr/>
              <w:t>P(Xi -mean)^2 =2.61</w:t>
            </w:r>
          </w:p>
        </w:tc>
      </w:tr>
    </w:tbl>
    <w:p>
      <w:pPr>
        <w:pStyle w:val="Normal"/>
        <w:bidi w:val="0"/>
        <w:jc w:val="start"/>
        <w:rPr>
          <w:b/>
          <w:bCs/>
        </w:rPr>
      </w:pPr>
      <w:r>
        <w:rPr>
          <w:b/>
          <w:bCs/>
        </w:rPr>
      </w:r>
    </w:p>
    <w:p>
      <w:pPr>
        <w:pStyle w:val="Normal"/>
        <w:bidi w:val="0"/>
        <w:jc w:val="start"/>
        <w:rPr>
          <w:b/>
          <w:bCs/>
        </w:rPr>
      </w:pPr>
      <w:r>
        <w:rPr>
          <w:b/>
          <w:bCs/>
        </w:rPr>
        <w:t xml:space="preserve">Variance (δ^2)  = </w:t>
      </w:r>
      <w:r>
        <w:rPr>
          <w:b w:val="false"/>
          <w:bCs w:val="false"/>
        </w:rPr>
        <w:t>( ∑P(Xi -mean)^2 )/  n-1</w:t>
      </w:r>
    </w:p>
    <w:p>
      <w:pPr>
        <w:pStyle w:val="Normal"/>
        <w:bidi w:val="0"/>
        <w:jc w:val="start"/>
        <w:rPr>
          <w:b w:val="false"/>
          <w:bCs w:val="false"/>
        </w:rPr>
      </w:pPr>
      <w:r>
        <w:rPr>
          <w:b w:val="false"/>
          <w:bCs w:val="false"/>
        </w:rPr>
        <w:t>=  2.61/ (3-1)</w:t>
      </w:r>
    </w:p>
    <w:p>
      <w:pPr>
        <w:pStyle w:val="Normal"/>
        <w:bidi w:val="0"/>
        <w:jc w:val="start"/>
        <w:rPr>
          <w:b w:val="false"/>
          <w:bCs w:val="false"/>
        </w:rPr>
      </w:pPr>
      <w:r>
        <w:rPr>
          <w:b w:val="false"/>
          <w:bCs w:val="false"/>
        </w:rPr>
        <w:t>= 1.305</w:t>
      </w:r>
    </w:p>
    <w:p>
      <w:pPr>
        <w:pStyle w:val="Normal"/>
        <w:bidi w:val="0"/>
        <w:jc w:val="start"/>
        <w:rPr>
          <w:b/>
          <w:bCs/>
        </w:rPr>
      </w:pPr>
      <w:r>
        <w:rPr>
          <w:b/>
          <w:bCs/>
        </w:rPr>
        <w:t xml:space="preserve">Standard deviation = </w:t>
      </w:r>
      <w:r>
        <w:rPr>
          <w:b w:val="false"/>
          <w:bCs w:val="false"/>
        </w:rPr>
        <w:t xml:space="preserve"> √Variance</w:t>
      </w:r>
    </w:p>
    <w:p>
      <w:pPr>
        <w:pStyle w:val="Normal"/>
        <w:bidi w:val="0"/>
        <w:jc w:val="start"/>
        <w:rPr>
          <w:b w:val="false"/>
          <w:bCs w:val="false"/>
        </w:rPr>
      </w:pPr>
      <w:r>
        <w:rPr>
          <w:b w:val="false"/>
          <w:bCs w:val="false"/>
        </w:rPr>
        <w:t>= √(1.305)</w:t>
      </w:r>
    </w:p>
    <w:p>
      <w:pPr>
        <w:pStyle w:val="Normal"/>
        <w:bidi w:val="0"/>
        <w:jc w:val="start"/>
        <w:rPr>
          <w:b w:val="false"/>
          <w:bCs w:val="false"/>
        </w:rPr>
      </w:pPr>
      <w:r>
        <w:rPr>
          <w:b w:val="false"/>
          <w:bCs w:val="false"/>
        </w:rPr>
        <w:t>=1.142</w:t>
      </w:r>
    </w:p>
    <w:p>
      <w:pPr>
        <w:pStyle w:val="Normal"/>
        <w:bidi w:val="0"/>
        <w:jc w:val="start"/>
        <w:rPr>
          <w:b/>
          <w:bCs/>
        </w:rPr>
      </w:pPr>
      <w:r>
        <w:rPr>
          <w:b/>
          <w:bCs/>
        </w:rPr>
      </w:r>
    </w:p>
    <w:p>
      <w:pPr>
        <w:pStyle w:val="Normal"/>
        <w:bidi w:val="0"/>
        <w:jc w:val="start"/>
        <w:rPr>
          <w:b w:val="false"/>
          <w:bCs w:val="false"/>
        </w:rPr>
      </w:pPr>
      <w:r>
        <w:rPr>
          <w:b w:val="false"/>
          <w:bCs w:val="false"/>
        </w:rPr>
        <w:t>Therefore , the Risk of  South Africa is 1.305 and the return of South Africa is 12.7%</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ii) Risk and Return of Tanzania</w:t>
      </w:r>
    </w:p>
    <w:p>
      <w:pPr>
        <w:pStyle w:val="Normal"/>
        <w:bidi w:val="0"/>
        <w:jc w:val="start"/>
        <w:rPr>
          <w:b w:val="false"/>
          <w:bCs w:val="false"/>
        </w:rPr>
      </w:pPr>
      <w:r>
        <w:rPr>
          <w:b w:val="false"/>
          <w:bCs w:val="false"/>
        </w:rPr>
      </w:r>
    </w:p>
    <w:tbl>
      <w:tblPr>
        <w:tblW w:w="5000" w:type="pct"/>
        <w:jc w:val="start"/>
        <w:tblInd w:w="-5" w:type="dxa"/>
        <w:tblLayout w:type="fixed"/>
        <w:tblCellMar>
          <w:top w:w="55" w:type="dxa"/>
          <w:start w:w="55" w:type="dxa"/>
          <w:bottom w:w="55" w:type="dxa"/>
          <w:end w:w="55" w:type="dxa"/>
        </w:tblCellMar>
      </w:tblPr>
      <w:tblGrid>
        <w:gridCol w:w="1994"/>
        <w:gridCol w:w="1994"/>
        <w:gridCol w:w="1995"/>
        <w:gridCol w:w="1994"/>
        <w:gridCol w:w="1995"/>
      </w:tblGrid>
      <w:tr>
        <w:trPr/>
        <w:tc>
          <w:tcPr>
            <w:tcW w:w="1994" w:type="dxa"/>
            <w:tcBorders>
              <w:top w:val="single" w:sz="4" w:space="0" w:color="000000"/>
              <w:start w:val="single" w:sz="4" w:space="0" w:color="000000"/>
              <w:bottom w:val="single" w:sz="4" w:space="0" w:color="000000"/>
            </w:tcBorders>
          </w:tcPr>
          <w:p>
            <w:pPr>
              <w:pStyle w:val="TableContents"/>
              <w:rPr/>
            </w:pPr>
            <w:r>
              <w:rPr/>
              <w:t xml:space="preserve">P </w:t>
            </w:r>
          </w:p>
        </w:tc>
        <w:tc>
          <w:tcPr>
            <w:tcW w:w="1994" w:type="dxa"/>
            <w:tcBorders>
              <w:top w:val="single" w:sz="4" w:space="0" w:color="000000"/>
              <w:start w:val="single" w:sz="4" w:space="0" w:color="000000"/>
              <w:bottom w:val="single" w:sz="4" w:space="0" w:color="000000"/>
            </w:tcBorders>
          </w:tcPr>
          <w:p>
            <w:pPr>
              <w:pStyle w:val="TableContents"/>
              <w:rPr/>
            </w:pPr>
            <w:r>
              <w:rPr/>
              <w:t>Xi</w:t>
            </w:r>
          </w:p>
        </w:tc>
        <w:tc>
          <w:tcPr>
            <w:tcW w:w="1995" w:type="dxa"/>
            <w:tcBorders>
              <w:top w:val="single" w:sz="4" w:space="0" w:color="000000"/>
              <w:start w:val="single" w:sz="4" w:space="0" w:color="000000"/>
              <w:bottom w:val="single" w:sz="4" w:space="0" w:color="000000"/>
            </w:tcBorders>
          </w:tcPr>
          <w:p>
            <w:pPr>
              <w:pStyle w:val="TableContents"/>
              <w:rPr/>
            </w:pPr>
            <w:r>
              <w:rPr/>
              <w:t>Xi -mean</w:t>
            </w:r>
          </w:p>
        </w:tc>
        <w:tc>
          <w:tcPr>
            <w:tcW w:w="1994" w:type="dxa"/>
            <w:tcBorders>
              <w:top w:val="single" w:sz="4" w:space="0" w:color="000000"/>
              <w:start w:val="single" w:sz="4" w:space="0" w:color="000000"/>
              <w:bottom w:val="single" w:sz="4" w:space="0" w:color="000000"/>
            </w:tcBorders>
          </w:tcPr>
          <w:p>
            <w:pPr>
              <w:pStyle w:val="TableContents"/>
              <w:rPr/>
            </w:pPr>
            <w:r>
              <w:rPr/>
              <w:t>(Xi -mean)^2</w:t>
            </w:r>
          </w:p>
        </w:tc>
        <w:tc>
          <w:tcPr>
            <w:tcW w:w="1995" w:type="dxa"/>
            <w:tcBorders>
              <w:top w:val="single" w:sz="4" w:space="0" w:color="000000"/>
              <w:start w:val="single" w:sz="4" w:space="0" w:color="000000"/>
              <w:bottom w:val="single" w:sz="4" w:space="0" w:color="000000"/>
              <w:end w:val="single" w:sz="4" w:space="0" w:color="000000"/>
            </w:tcBorders>
          </w:tcPr>
          <w:p>
            <w:pPr>
              <w:pStyle w:val="TableContents"/>
              <w:rPr/>
            </w:pPr>
            <w:r>
              <w:rPr/>
              <w:t>P(Xi -mean)^2</w:t>
            </w:r>
          </w:p>
        </w:tc>
      </w:tr>
      <w:tr>
        <w:trPr/>
        <w:tc>
          <w:tcPr>
            <w:tcW w:w="1994" w:type="dxa"/>
            <w:tcBorders>
              <w:start w:val="single" w:sz="4" w:space="0" w:color="000000"/>
              <w:bottom w:val="single" w:sz="4" w:space="0" w:color="000000"/>
            </w:tcBorders>
          </w:tcPr>
          <w:p>
            <w:pPr>
              <w:pStyle w:val="TableContents"/>
              <w:rPr/>
            </w:pPr>
            <w:r>
              <w:rPr/>
              <w:t>0.1</w:t>
            </w:r>
          </w:p>
        </w:tc>
        <w:tc>
          <w:tcPr>
            <w:tcW w:w="1994" w:type="dxa"/>
            <w:tcBorders>
              <w:start w:val="single" w:sz="4" w:space="0" w:color="000000"/>
              <w:bottom w:val="single" w:sz="4" w:space="0" w:color="000000"/>
            </w:tcBorders>
          </w:tcPr>
          <w:p>
            <w:pPr>
              <w:pStyle w:val="TableContents"/>
              <w:rPr/>
            </w:pPr>
            <w:r>
              <w:rPr/>
              <w:t>22%</w:t>
            </w:r>
          </w:p>
        </w:tc>
        <w:tc>
          <w:tcPr>
            <w:tcW w:w="1995" w:type="dxa"/>
            <w:tcBorders>
              <w:start w:val="single" w:sz="4" w:space="0" w:color="000000"/>
              <w:bottom w:val="single" w:sz="4" w:space="0" w:color="000000"/>
            </w:tcBorders>
          </w:tcPr>
          <w:p>
            <w:pPr>
              <w:pStyle w:val="TableContents"/>
              <w:rPr/>
            </w:pPr>
            <w:r>
              <w:rPr/>
              <w:t>1.2%</w:t>
            </w:r>
          </w:p>
        </w:tc>
        <w:tc>
          <w:tcPr>
            <w:tcW w:w="1994" w:type="dxa"/>
            <w:tcBorders>
              <w:start w:val="single" w:sz="4" w:space="0" w:color="000000"/>
              <w:bottom w:val="single" w:sz="4" w:space="0" w:color="000000"/>
            </w:tcBorders>
          </w:tcPr>
          <w:p>
            <w:pPr>
              <w:pStyle w:val="TableContents"/>
              <w:rPr/>
            </w:pPr>
            <w:r>
              <w:rPr/>
              <w:t>1.44%</w:t>
            </w:r>
          </w:p>
        </w:tc>
        <w:tc>
          <w:tcPr>
            <w:tcW w:w="1995" w:type="dxa"/>
            <w:tcBorders>
              <w:start w:val="single" w:sz="4" w:space="0" w:color="000000"/>
              <w:bottom w:val="single" w:sz="4" w:space="0" w:color="000000"/>
              <w:end w:val="single" w:sz="4" w:space="0" w:color="000000"/>
            </w:tcBorders>
          </w:tcPr>
          <w:p>
            <w:pPr>
              <w:pStyle w:val="TableContents"/>
              <w:rPr/>
            </w:pPr>
            <w:r>
              <w:rPr/>
              <w:t>0.144%</w:t>
            </w:r>
          </w:p>
        </w:tc>
      </w:tr>
      <w:tr>
        <w:trPr/>
        <w:tc>
          <w:tcPr>
            <w:tcW w:w="1994" w:type="dxa"/>
            <w:tcBorders>
              <w:start w:val="single" w:sz="4" w:space="0" w:color="000000"/>
              <w:bottom w:val="single" w:sz="4" w:space="0" w:color="000000"/>
            </w:tcBorders>
          </w:tcPr>
          <w:p>
            <w:pPr>
              <w:pStyle w:val="TableContents"/>
              <w:rPr/>
            </w:pPr>
            <w:r>
              <w:rPr/>
              <w:t>0.6</w:t>
            </w:r>
          </w:p>
        </w:tc>
        <w:tc>
          <w:tcPr>
            <w:tcW w:w="1994" w:type="dxa"/>
            <w:tcBorders>
              <w:start w:val="single" w:sz="4" w:space="0" w:color="000000"/>
              <w:bottom w:val="single" w:sz="4" w:space="0" w:color="000000"/>
            </w:tcBorders>
          </w:tcPr>
          <w:p>
            <w:pPr>
              <w:pStyle w:val="TableContents"/>
              <w:rPr/>
            </w:pPr>
            <w:r>
              <w:rPr/>
              <w:t>23%</w:t>
            </w:r>
          </w:p>
        </w:tc>
        <w:tc>
          <w:tcPr>
            <w:tcW w:w="1995" w:type="dxa"/>
            <w:tcBorders>
              <w:start w:val="single" w:sz="4" w:space="0" w:color="000000"/>
              <w:bottom w:val="single" w:sz="4" w:space="0" w:color="000000"/>
            </w:tcBorders>
          </w:tcPr>
          <w:p>
            <w:pPr>
              <w:pStyle w:val="TableContents"/>
              <w:rPr/>
            </w:pPr>
            <w:r>
              <w:rPr/>
              <w:t>2.2%</w:t>
            </w:r>
          </w:p>
        </w:tc>
        <w:tc>
          <w:tcPr>
            <w:tcW w:w="1994" w:type="dxa"/>
            <w:tcBorders>
              <w:start w:val="single" w:sz="4" w:space="0" w:color="000000"/>
              <w:bottom w:val="single" w:sz="4" w:space="0" w:color="000000"/>
            </w:tcBorders>
          </w:tcPr>
          <w:p>
            <w:pPr>
              <w:pStyle w:val="TableContents"/>
              <w:rPr/>
            </w:pPr>
            <w:r>
              <w:rPr/>
              <w:t>4.84%</w:t>
            </w:r>
          </w:p>
        </w:tc>
        <w:tc>
          <w:tcPr>
            <w:tcW w:w="1995" w:type="dxa"/>
            <w:tcBorders>
              <w:start w:val="single" w:sz="4" w:space="0" w:color="000000"/>
              <w:bottom w:val="single" w:sz="4" w:space="0" w:color="000000"/>
              <w:end w:val="single" w:sz="4" w:space="0" w:color="000000"/>
            </w:tcBorders>
          </w:tcPr>
          <w:p>
            <w:pPr>
              <w:pStyle w:val="TableContents"/>
              <w:rPr/>
            </w:pPr>
            <w:r>
              <w:rPr/>
              <w:t>2.904%</w:t>
            </w:r>
          </w:p>
        </w:tc>
      </w:tr>
      <w:tr>
        <w:trPr/>
        <w:tc>
          <w:tcPr>
            <w:tcW w:w="1994" w:type="dxa"/>
            <w:tcBorders>
              <w:start w:val="single" w:sz="4" w:space="0" w:color="000000"/>
              <w:bottom w:val="single" w:sz="4" w:space="0" w:color="000000"/>
            </w:tcBorders>
          </w:tcPr>
          <w:p>
            <w:pPr>
              <w:pStyle w:val="TableContents"/>
              <w:rPr/>
            </w:pPr>
            <w:r>
              <w:rPr/>
              <w:t>0.3</w:t>
            </w:r>
          </w:p>
        </w:tc>
        <w:tc>
          <w:tcPr>
            <w:tcW w:w="1994" w:type="dxa"/>
            <w:tcBorders>
              <w:start w:val="single" w:sz="4" w:space="0" w:color="000000"/>
              <w:bottom w:val="single" w:sz="4" w:space="0" w:color="000000"/>
            </w:tcBorders>
          </w:tcPr>
          <w:p>
            <w:pPr>
              <w:pStyle w:val="TableContents"/>
              <w:rPr/>
            </w:pPr>
            <w:r>
              <w:rPr/>
              <w:t>16%</w:t>
            </w:r>
          </w:p>
        </w:tc>
        <w:tc>
          <w:tcPr>
            <w:tcW w:w="1995" w:type="dxa"/>
            <w:tcBorders>
              <w:start w:val="single" w:sz="4" w:space="0" w:color="000000"/>
              <w:bottom w:val="single" w:sz="4" w:space="0" w:color="000000"/>
            </w:tcBorders>
          </w:tcPr>
          <w:p>
            <w:pPr>
              <w:pStyle w:val="TableContents"/>
              <w:rPr/>
            </w:pPr>
            <w:r>
              <w:rPr/>
              <w:t>4.8%</w:t>
            </w:r>
          </w:p>
        </w:tc>
        <w:tc>
          <w:tcPr>
            <w:tcW w:w="1994" w:type="dxa"/>
            <w:tcBorders>
              <w:start w:val="single" w:sz="4" w:space="0" w:color="000000"/>
              <w:bottom w:val="single" w:sz="4" w:space="0" w:color="000000"/>
            </w:tcBorders>
          </w:tcPr>
          <w:p>
            <w:pPr>
              <w:pStyle w:val="TableContents"/>
              <w:rPr/>
            </w:pPr>
            <w:r>
              <w:rPr/>
              <w:t>23.04%</w:t>
            </w:r>
          </w:p>
        </w:tc>
        <w:tc>
          <w:tcPr>
            <w:tcW w:w="1995" w:type="dxa"/>
            <w:tcBorders>
              <w:start w:val="single" w:sz="4" w:space="0" w:color="000000"/>
              <w:bottom w:val="single" w:sz="4" w:space="0" w:color="000000"/>
              <w:end w:val="single" w:sz="4" w:space="0" w:color="000000"/>
            </w:tcBorders>
          </w:tcPr>
          <w:p>
            <w:pPr>
              <w:pStyle w:val="TableContents"/>
              <w:rPr/>
            </w:pPr>
            <w:r>
              <w:rPr/>
              <w:t>6.912%</w:t>
            </w:r>
          </w:p>
        </w:tc>
      </w:tr>
      <w:tr>
        <w:trPr/>
        <w:tc>
          <w:tcPr>
            <w:tcW w:w="1994"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t>Mean =  20.8%</w:t>
            </w:r>
          </w:p>
        </w:tc>
        <w:tc>
          <w:tcPr>
            <w:tcW w:w="1995"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r>
          </w:p>
        </w:tc>
        <w:tc>
          <w:tcPr>
            <w:tcW w:w="1995" w:type="dxa"/>
            <w:tcBorders>
              <w:start w:val="single" w:sz="4" w:space="0" w:color="000000"/>
              <w:bottom w:val="single" w:sz="4" w:space="0" w:color="000000"/>
              <w:end w:val="single" w:sz="4" w:space="0" w:color="000000"/>
            </w:tcBorders>
          </w:tcPr>
          <w:p>
            <w:pPr>
              <w:pStyle w:val="TableContents"/>
              <w:rPr/>
            </w:pPr>
            <w:r>
              <w:rPr/>
              <w:t>∑</w:t>
            </w:r>
            <w:r>
              <w:rPr/>
              <w:t>P(Xi -mean)^2 =9.96%</w:t>
            </w:r>
          </w:p>
        </w:tc>
      </w:tr>
    </w:tbl>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t xml:space="preserve">Variance (δ^2)  = </w:t>
      </w:r>
      <w:r>
        <w:rPr>
          <w:b w:val="false"/>
          <w:bCs w:val="false"/>
        </w:rPr>
        <w:t>( ∑P(Xi -mean)^2 ) /  n-1</w:t>
      </w:r>
    </w:p>
    <w:p>
      <w:pPr>
        <w:pStyle w:val="Normal"/>
        <w:bidi w:val="0"/>
        <w:jc w:val="start"/>
        <w:rPr>
          <w:b w:val="false"/>
          <w:bCs w:val="false"/>
        </w:rPr>
      </w:pPr>
      <w:r>
        <w:rPr>
          <w:b w:val="false"/>
          <w:bCs w:val="false"/>
        </w:rPr>
        <w:t>=  9.96/ (3-1)</w:t>
      </w:r>
    </w:p>
    <w:p>
      <w:pPr>
        <w:pStyle w:val="Normal"/>
        <w:bidi w:val="0"/>
        <w:jc w:val="start"/>
        <w:rPr>
          <w:b w:val="false"/>
          <w:bCs w:val="false"/>
        </w:rPr>
      </w:pPr>
      <w:r>
        <w:rPr>
          <w:b w:val="false"/>
          <w:bCs w:val="false"/>
        </w:rPr>
        <w:t>= 4.98</w:t>
      </w:r>
    </w:p>
    <w:p>
      <w:pPr>
        <w:pStyle w:val="Normal"/>
        <w:bidi w:val="0"/>
        <w:jc w:val="start"/>
        <w:rPr>
          <w:b/>
          <w:bCs/>
        </w:rPr>
      </w:pPr>
      <w:r>
        <w:rPr>
          <w:b/>
          <w:bCs/>
        </w:rPr>
        <w:t xml:space="preserve">Standard deviation = </w:t>
      </w:r>
      <w:r>
        <w:rPr>
          <w:b w:val="false"/>
          <w:bCs w:val="false"/>
        </w:rPr>
        <w:t xml:space="preserve"> √Variance</w:t>
      </w:r>
    </w:p>
    <w:p>
      <w:pPr>
        <w:pStyle w:val="Normal"/>
        <w:bidi w:val="0"/>
        <w:jc w:val="start"/>
        <w:rPr>
          <w:b w:val="false"/>
          <w:bCs w:val="false"/>
        </w:rPr>
      </w:pPr>
      <w:r>
        <w:rPr>
          <w:b w:val="false"/>
          <w:bCs w:val="false"/>
        </w:rPr>
        <w:t>= √(4.98)</w:t>
      </w:r>
    </w:p>
    <w:p>
      <w:pPr>
        <w:pStyle w:val="Normal"/>
        <w:bidi w:val="0"/>
        <w:jc w:val="start"/>
        <w:rPr>
          <w:b w:val="false"/>
          <w:bCs w:val="false"/>
        </w:rPr>
      </w:pPr>
      <w:r>
        <w:rPr>
          <w:b w:val="false"/>
          <w:bCs w:val="false"/>
        </w:rPr>
        <w:t>=2.232</w:t>
      </w:r>
    </w:p>
    <w:p>
      <w:pPr>
        <w:pStyle w:val="Normal"/>
        <w:bidi w:val="0"/>
        <w:jc w:val="start"/>
        <w:rPr>
          <w:b/>
          <w:bCs/>
        </w:rPr>
      </w:pPr>
      <w:r>
        <w:rPr>
          <w:b/>
          <w:bCs/>
        </w:rPr>
      </w:r>
    </w:p>
    <w:p>
      <w:pPr>
        <w:pStyle w:val="Normal"/>
        <w:bidi w:val="0"/>
        <w:jc w:val="start"/>
        <w:rPr>
          <w:b w:val="false"/>
          <w:bCs w:val="false"/>
        </w:rPr>
      </w:pPr>
      <w:r>
        <w:rPr>
          <w:b w:val="false"/>
          <w:bCs w:val="false"/>
        </w:rPr>
        <w:t>Therefore , the Risk of  South Africa is 4.98% and the return of South Africa is 20.8%</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iii) The Risk and return of Tanzania</w:t>
      </w:r>
    </w:p>
    <w:p>
      <w:pPr>
        <w:pStyle w:val="Normal"/>
        <w:bidi w:val="0"/>
        <w:jc w:val="start"/>
        <w:rPr>
          <w:b/>
          <w:bCs/>
        </w:rPr>
      </w:pPr>
      <w:r>
        <w:rPr>
          <w:b/>
          <w:bCs/>
        </w:rPr>
      </w:r>
    </w:p>
    <w:p>
      <w:pPr>
        <w:pStyle w:val="Normal"/>
        <w:bidi w:val="0"/>
        <w:jc w:val="start"/>
        <w:rPr>
          <w:b/>
          <w:bCs/>
        </w:rPr>
      </w:pPr>
      <w:r>
        <w:rPr>
          <w:b/>
          <w:bCs/>
        </w:rPr>
      </w:r>
    </w:p>
    <w:tbl>
      <w:tblPr>
        <w:tblW w:w="5000" w:type="pct"/>
        <w:jc w:val="start"/>
        <w:tblInd w:w="-5" w:type="dxa"/>
        <w:tblLayout w:type="fixed"/>
        <w:tblCellMar>
          <w:top w:w="55" w:type="dxa"/>
          <w:start w:w="55" w:type="dxa"/>
          <w:bottom w:w="55" w:type="dxa"/>
          <w:end w:w="55" w:type="dxa"/>
        </w:tblCellMar>
      </w:tblPr>
      <w:tblGrid>
        <w:gridCol w:w="1994"/>
        <w:gridCol w:w="1994"/>
        <w:gridCol w:w="1995"/>
        <w:gridCol w:w="1994"/>
        <w:gridCol w:w="1995"/>
      </w:tblGrid>
      <w:tr>
        <w:trPr/>
        <w:tc>
          <w:tcPr>
            <w:tcW w:w="1994" w:type="dxa"/>
            <w:tcBorders>
              <w:top w:val="single" w:sz="4" w:space="0" w:color="000000"/>
              <w:start w:val="single" w:sz="4" w:space="0" w:color="000000"/>
              <w:bottom w:val="single" w:sz="4" w:space="0" w:color="000000"/>
            </w:tcBorders>
          </w:tcPr>
          <w:p>
            <w:pPr>
              <w:pStyle w:val="TableContents"/>
              <w:rPr/>
            </w:pPr>
            <w:r>
              <w:rPr/>
              <w:t xml:space="preserve">P </w:t>
            </w:r>
          </w:p>
        </w:tc>
        <w:tc>
          <w:tcPr>
            <w:tcW w:w="1994" w:type="dxa"/>
            <w:tcBorders>
              <w:top w:val="single" w:sz="4" w:space="0" w:color="000000"/>
              <w:start w:val="single" w:sz="4" w:space="0" w:color="000000"/>
              <w:bottom w:val="single" w:sz="4" w:space="0" w:color="000000"/>
            </w:tcBorders>
          </w:tcPr>
          <w:p>
            <w:pPr>
              <w:pStyle w:val="TableContents"/>
              <w:rPr/>
            </w:pPr>
            <w:r>
              <w:rPr/>
              <w:t>Xi</w:t>
            </w:r>
          </w:p>
        </w:tc>
        <w:tc>
          <w:tcPr>
            <w:tcW w:w="1995" w:type="dxa"/>
            <w:tcBorders>
              <w:top w:val="single" w:sz="4" w:space="0" w:color="000000"/>
              <w:start w:val="single" w:sz="4" w:space="0" w:color="000000"/>
              <w:bottom w:val="single" w:sz="4" w:space="0" w:color="000000"/>
            </w:tcBorders>
          </w:tcPr>
          <w:p>
            <w:pPr>
              <w:pStyle w:val="TableContents"/>
              <w:rPr/>
            </w:pPr>
            <w:r>
              <w:rPr/>
              <w:t>Xi -mean</w:t>
            </w:r>
          </w:p>
        </w:tc>
        <w:tc>
          <w:tcPr>
            <w:tcW w:w="1994" w:type="dxa"/>
            <w:tcBorders>
              <w:top w:val="single" w:sz="4" w:space="0" w:color="000000"/>
              <w:start w:val="single" w:sz="4" w:space="0" w:color="000000"/>
              <w:bottom w:val="single" w:sz="4" w:space="0" w:color="000000"/>
            </w:tcBorders>
          </w:tcPr>
          <w:p>
            <w:pPr>
              <w:pStyle w:val="TableContents"/>
              <w:rPr/>
            </w:pPr>
            <w:r>
              <w:rPr/>
              <w:t>(Xi -mean)^2</w:t>
            </w:r>
          </w:p>
        </w:tc>
        <w:tc>
          <w:tcPr>
            <w:tcW w:w="1995" w:type="dxa"/>
            <w:tcBorders>
              <w:top w:val="single" w:sz="4" w:space="0" w:color="000000"/>
              <w:start w:val="single" w:sz="4" w:space="0" w:color="000000"/>
              <w:bottom w:val="single" w:sz="4" w:space="0" w:color="000000"/>
              <w:end w:val="single" w:sz="4" w:space="0" w:color="000000"/>
            </w:tcBorders>
          </w:tcPr>
          <w:p>
            <w:pPr>
              <w:pStyle w:val="TableContents"/>
              <w:rPr/>
            </w:pPr>
            <w:r>
              <w:rPr/>
              <w:t>P(Xi -mean)^2</w:t>
            </w:r>
          </w:p>
        </w:tc>
      </w:tr>
      <w:tr>
        <w:trPr/>
        <w:tc>
          <w:tcPr>
            <w:tcW w:w="1994" w:type="dxa"/>
            <w:tcBorders>
              <w:start w:val="single" w:sz="4" w:space="0" w:color="000000"/>
              <w:bottom w:val="single" w:sz="4" w:space="0" w:color="000000"/>
            </w:tcBorders>
          </w:tcPr>
          <w:p>
            <w:pPr>
              <w:pStyle w:val="TableContents"/>
              <w:rPr/>
            </w:pPr>
            <w:r>
              <w:rPr/>
              <w:t>0.1</w:t>
            </w:r>
          </w:p>
        </w:tc>
        <w:tc>
          <w:tcPr>
            <w:tcW w:w="1994" w:type="dxa"/>
            <w:tcBorders>
              <w:start w:val="single" w:sz="4" w:space="0" w:color="000000"/>
              <w:bottom w:val="single" w:sz="4" w:space="0" w:color="000000"/>
            </w:tcBorders>
          </w:tcPr>
          <w:p>
            <w:pPr>
              <w:pStyle w:val="TableContents"/>
              <w:rPr/>
            </w:pPr>
            <w:r>
              <w:rPr/>
              <w:t>10%</w:t>
            </w:r>
          </w:p>
        </w:tc>
        <w:tc>
          <w:tcPr>
            <w:tcW w:w="1995" w:type="dxa"/>
            <w:tcBorders>
              <w:start w:val="single" w:sz="4" w:space="0" w:color="000000"/>
              <w:bottom w:val="single" w:sz="4" w:space="0" w:color="000000"/>
            </w:tcBorders>
          </w:tcPr>
          <w:p>
            <w:pPr>
              <w:pStyle w:val="TableContents"/>
              <w:rPr/>
            </w:pPr>
            <w:r>
              <w:rPr/>
              <w:t>-</w:t>
            </w:r>
            <w:r>
              <w:rPr/>
              <w:t>2.7%</w:t>
            </w:r>
          </w:p>
        </w:tc>
        <w:tc>
          <w:tcPr>
            <w:tcW w:w="1994" w:type="dxa"/>
            <w:tcBorders>
              <w:start w:val="single" w:sz="4" w:space="0" w:color="000000"/>
              <w:bottom w:val="single" w:sz="4" w:space="0" w:color="000000"/>
            </w:tcBorders>
          </w:tcPr>
          <w:p>
            <w:pPr>
              <w:pStyle w:val="TableContents"/>
              <w:rPr/>
            </w:pPr>
            <w:r>
              <w:rPr/>
              <w:t>7.29%</w:t>
            </w:r>
          </w:p>
        </w:tc>
        <w:tc>
          <w:tcPr>
            <w:tcW w:w="1995" w:type="dxa"/>
            <w:tcBorders>
              <w:start w:val="single" w:sz="4" w:space="0" w:color="000000"/>
              <w:bottom w:val="single" w:sz="4" w:space="0" w:color="000000"/>
              <w:end w:val="single" w:sz="4" w:space="0" w:color="000000"/>
            </w:tcBorders>
          </w:tcPr>
          <w:p>
            <w:pPr>
              <w:pStyle w:val="TableContents"/>
              <w:rPr/>
            </w:pPr>
            <w:r>
              <w:rPr/>
              <w:t>0.729%</w:t>
            </w:r>
          </w:p>
        </w:tc>
      </w:tr>
      <w:tr>
        <w:trPr/>
        <w:tc>
          <w:tcPr>
            <w:tcW w:w="1994" w:type="dxa"/>
            <w:tcBorders>
              <w:start w:val="single" w:sz="4" w:space="0" w:color="000000"/>
              <w:bottom w:val="single" w:sz="4" w:space="0" w:color="000000"/>
            </w:tcBorders>
          </w:tcPr>
          <w:p>
            <w:pPr>
              <w:pStyle w:val="TableContents"/>
              <w:rPr/>
            </w:pPr>
            <w:r>
              <w:rPr/>
              <w:t>0.6</w:t>
            </w:r>
          </w:p>
        </w:tc>
        <w:tc>
          <w:tcPr>
            <w:tcW w:w="1994" w:type="dxa"/>
            <w:tcBorders>
              <w:start w:val="single" w:sz="4" w:space="0" w:color="000000"/>
              <w:bottom w:val="single" w:sz="4" w:space="0" w:color="000000"/>
            </w:tcBorders>
          </w:tcPr>
          <w:p>
            <w:pPr>
              <w:pStyle w:val="TableContents"/>
              <w:rPr/>
            </w:pPr>
            <w:r>
              <w:rPr/>
              <w:t>12%</w:t>
            </w:r>
          </w:p>
        </w:tc>
        <w:tc>
          <w:tcPr>
            <w:tcW w:w="1995" w:type="dxa"/>
            <w:tcBorders>
              <w:start w:val="single" w:sz="4" w:space="0" w:color="000000"/>
              <w:bottom w:val="single" w:sz="4" w:space="0" w:color="000000"/>
            </w:tcBorders>
          </w:tcPr>
          <w:p>
            <w:pPr>
              <w:pStyle w:val="TableContents"/>
              <w:rPr/>
            </w:pPr>
            <w:r>
              <w:rPr/>
              <w:t>-</w:t>
            </w:r>
            <w:r>
              <w:rPr/>
              <w:t>0.7%</w:t>
            </w:r>
          </w:p>
        </w:tc>
        <w:tc>
          <w:tcPr>
            <w:tcW w:w="1994" w:type="dxa"/>
            <w:tcBorders>
              <w:start w:val="single" w:sz="4" w:space="0" w:color="000000"/>
              <w:bottom w:val="single" w:sz="4" w:space="0" w:color="000000"/>
            </w:tcBorders>
          </w:tcPr>
          <w:p>
            <w:pPr>
              <w:pStyle w:val="TableContents"/>
              <w:rPr/>
            </w:pPr>
            <w:r>
              <w:rPr/>
              <w:t>0.49%</w:t>
            </w:r>
          </w:p>
        </w:tc>
        <w:tc>
          <w:tcPr>
            <w:tcW w:w="1995" w:type="dxa"/>
            <w:tcBorders>
              <w:start w:val="single" w:sz="4" w:space="0" w:color="000000"/>
              <w:bottom w:val="single" w:sz="4" w:space="0" w:color="000000"/>
              <w:end w:val="single" w:sz="4" w:space="0" w:color="000000"/>
            </w:tcBorders>
          </w:tcPr>
          <w:p>
            <w:pPr>
              <w:pStyle w:val="TableContents"/>
              <w:rPr/>
            </w:pPr>
            <w:r>
              <w:rPr/>
              <w:t>0.293%</w:t>
            </w:r>
          </w:p>
        </w:tc>
      </w:tr>
      <w:tr>
        <w:trPr/>
        <w:tc>
          <w:tcPr>
            <w:tcW w:w="1994" w:type="dxa"/>
            <w:tcBorders>
              <w:start w:val="single" w:sz="4" w:space="0" w:color="000000"/>
              <w:bottom w:val="single" w:sz="4" w:space="0" w:color="000000"/>
            </w:tcBorders>
          </w:tcPr>
          <w:p>
            <w:pPr>
              <w:pStyle w:val="TableContents"/>
              <w:rPr/>
            </w:pPr>
            <w:r>
              <w:rPr/>
              <w:t>0.3</w:t>
            </w:r>
          </w:p>
        </w:tc>
        <w:tc>
          <w:tcPr>
            <w:tcW w:w="1994" w:type="dxa"/>
            <w:tcBorders>
              <w:start w:val="single" w:sz="4" w:space="0" w:color="000000"/>
              <w:bottom w:val="single" w:sz="4" w:space="0" w:color="000000"/>
            </w:tcBorders>
          </w:tcPr>
          <w:p>
            <w:pPr>
              <w:pStyle w:val="TableContents"/>
              <w:rPr/>
            </w:pPr>
            <w:r>
              <w:rPr/>
              <w:t>15%</w:t>
            </w:r>
          </w:p>
        </w:tc>
        <w:tc>
          <w:tcPr>
            <w:tcW w:w="1995" w:type="dxa"/>
            <w:tcBorders>
              <w:start w:val="single" w:sz="4" w:space="0" w:color="000000"/>
              <w:bottom w:val="single" w:sz="4" w:space="0" w:color="000000"/>
            </w:tcBorders>
          </w:tcPr>
          <w:p>
            <w:pPr>
              <w:pStyle w:val="TableContents"/>
              <w:rPr/>
            </w:pPr>
            <w:r>
              <w:rPr/>
              <w:t>2.3%</w:t>
            </w:r>
          </w:p>
        </w:tc>
        <w:tc>
          <w:tcPr>
            <w:tcW w:w="1994" w:type="dxa"/>
            <w:tcBorders>
              <w:start w:val="single" w:sz="4" w:space="0" w:color="000000"/>
              <w:bottom w:val="single" w:sz="4" w:space="0" w:color="000000"/>
            </w:tcBorders>
          </w:tcPr>
          <w:p>
            <w:pPr>
              <w:pStyle w:val="TableContents"/>
              <w:rPr/>
            </w:pPr>
            <w:r>
              <w:rPr/>
              <w:t>5.29%</w:t>
            </w:r>
          </w:p>
        </w:tc>
        <w:tc>
          <w:tcPr>
            <w:tcW w:w="1995" w:type="dxa"/>
            <w:tcBorders>
              <w:start w:val="single" w:sz="4" w:space="0" w:color="000000"/>
              <w:bottom w:val="single" w:sz="4" w:space="0" w:color="000000"/>
              <w:end w:val="single" w:sz="4" w:space="0" w:color="000000"/>
            </w:tcBorders>
          </w:tcPr>
          <w:p>
            <w:pPr>
              <w:pStyle w:val="TableContents"/>
              <w:rPr/>
            </w:pPr>
            <w:r>
              <w:rPr/>
              <w:t>1.587%</w:t>
            </w:r>
          </w:p>
        </w:tc>
      </w:tr>
      <w:tr>
        <w:trPr/>
        <w:tc>
          <w:tcPr>
            <w:tcW w:w="1994"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t>Mean =  12.7%</w:t>
            </w:r>
          </w:p>
        </w:tc>
        <w:tc>
          <w:tcPr>
            <w:tcW w:w="1995"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r>
          </w:p>
        </w:tc>
        <w:tc>
          <w:tcPr>
            <w:tcW w:w="1995" w:type="dxa"/>
            <w:tcBorders>
              <w:start w:val="single" w:sz="4" w:space="0" w:color="000000"/>
              <w:bottom w:val="single" w:sz="4" w:space="0" w:color="000000"/>
              <w:end w:val="single" w:sz="4" w:space="0" w:color="000000"/>
            </w:tcBorders>
          </w:tcPr>
          <w:p>
            <w:pPr>
              <w:pStyle w:val="TableContents"/>
              <w:rPr/>
            </w:pPr>
            <w:r>
              <w:rPr/>
              <w:t>∑</w:t>
            </w:r>
            <w:r>
              <w:rPr/>
              <w:t>P(Xi -mean)^2 =2.61</w:t>
            </w:r>
          </w:p>
        </w:tc>
      </w:tr>
    </w:tbl>
    <w:p>
      <w:pPr>
        <w:pStyle w:val="Normal"/>
        <w:bidi w:val="0"/>
        <w:jc w:val="start"/>
        <w:rPr>
          <w:b/>
          <w:bCs/>
        </w:rPr>
      </w:pPr>
      <w:r>
        <w:rPr>
          <w:b/>
          <w:bCs/>
        </w:rPr>
      </w:r>
    </w:p>
    <w:p>
      <w:pPr>
        <w:pStyle w:val="Normal"/>
        <w:bidi w:val="0"/>
        <w:jc w:val="start"/>
        <w:rPr>
          <w:b/>
          <w:bCs/>
        </w:rPr>
      </w:pPr>
      <w:r>
        <w:rPr>
          <w:b/>
          <w:bCs/>
        </w:rPr>
        <w:t xml:space="preserve">Variance (δ^2)  = </w:t>
      </w:r>
      <w:r>
        <w:rPr>
          <w:b w:val="false"/>
          <w:bCs w:val="false"/>
        </w:rPr>
        <w:t>( ∑P(Xi -mean)^2 )/  n-1</w:t>
      </w:r>
    </w:p>
    <w:p>
      <w:pPr>
        <w:pStyle w:val="Normal"/>
        <w:bidi w:val="0"/>
        <w:jc w:val="start"/>
        <w:rPr>
          <w:b w:val="false"/>
          <w:bCs w:val="false"/>
        </w:rPr>
      </w:pPr>
      <w:r>
        <w:rPr>
          <w:b w:val="false"/>
          <w:bCs w:val="false"/>
        </w:rPr>
        <w:t>=  2.61/ (3-1)</w:t>
      </w:r>
    </w:p>
    <w:p>
      <w:pPr>
        <w:pStyle w:val="Normal"/>
        <w:bidi w:val="0"/>
        <w:jc w:val="start"/>
        <w:rPr>
          <w:b w:val="false"/>
          <w:bCs w:val="false"/>
        </w:rPr>
      </w:pPr>
      <w:r>
        <w:rPr>
          <w:b w:val="false"/>
          <w:bCs w:val="false"/>
        </w:rPr>
        <w:t>= 1.305</w:t>
      </w:r>
    </w:p>
    <w:p>
      <w:pPr>
        <w:pStyle w:val="Normal"/>
        <w:bidi w:val="0"/>
        <w:jc w:val="start"/>
        <w:rPr>
          <w:b/>
          <w:bCs/>
        </w:rPr>
      </w:pPr>
      <w:r>
        <w:rPr>
          <w:b/>
          <w:bCs/>
        </w:rPr>
        <w:t xml:space="preserve">Standard deviation = </w:t>
      </w:r>
      <w:r>
        <w:rPr>
          <w:b w:val="false"/>
          <w:bCs w:val="false"/>
        </w:rPr>
        <w:t xml:space="preserve"> √Variance</w:t>
      </w:r>
    </w:p>
    <w:p>
      <w:pPr>
        <w:pStyle w:val="Normal"/>
        <w:bidi w:val="0"/>
        <w:jc w:val="start"/>
        <w:rPr>
          <w:b w:val="false"/>
          <w:bCs w:val="false"/>
        </w:rPr>
      </w:pPr>
      <w:r>
        <w:rPr>
          <w:b w:val="false"/>
          <w:bCs w:val="false"/>
        </w:rPr>
        <w:t>= √(1.305)</w:t>
      </w:r>
    </w:p>
    <w:p>
      <w:pPr>
        <w:pStyle w:val="Normal"/>
        <w:bidi w:val="0"/>
        <w:jc w:val="start"/>
        <w:rPr>
          <w:b w:val="false"/>
          <w:bCs w:val="false"/>
        </w:rPr>
      </w:pPr>
      <w:r>
        <w:rPr>
          <w:b w:val="false"/>
          <w:bCs w:val="false"/>
        </w:rPr>
        <w:t>=1.142</w:t>
      </w:r>
    </w:p>
    <w:p>
      <w:pPr>
        <w:pStyle w:val="Normal"/>
        <w:bidi w:val="0"/>
        <w:jc w:val="start"/>
        <w:rPr>
          <w:b/>
          <w:bCs/>
        </w:rPr>
      </w:pPr>
      <w:r>
        <w:rPr>
          <w:b/>
          <w:bCs/>
        </w:rPr>
      </w:r>
    </w:p>
    <w:p>
      <w:pPr>
        <w:pStyle w:val="Normal"/>
        <w:bidi w:val="0"/>
        <w:jc w:val="start"/>
        <w:rPr>
          <w:b w:val="false"/>
          <w:bCs w:val="false"/>
        </w:rPr>
      </w:pPr>
      <w:r>
        <w:rPr>
          <w:b w:val="false"/>
          <w:bCs w:val="false"/>
        </w:rPr>
        <w:t>Therefore , the Risk of Tanzania is 1.305 and the return of Tanzania is 12.7%</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ii) Risk and Return of Kenya</w:t>
      </w:r>
    </w:p>
    <w:p>
      <w:pPr>
        <w:pStyle w:val="Normal"/>
        <w:bidi w:val="0"/>
        <w:jc w:val="start"/>
        <w:rPr>
          <w:b w:val="false"/>
          <w:bCs w:val="false"/>
        </w:rPr>
      </w:pPr>
      <w:r>
        <w:rPr>
          <w:b w:val="false"/>
          <w:bCs w:val="false"/>
        </w:rPr>
      </w:r>
    </w:p>
    <w:tbl>
      <w:tblPr>
        <w:tblW w:w="5000" w:type="pct"/>
        <w:jc w:val="start"/>
        <w:tblInd w:w="-5" w:type="dxa"/>
        <w:tblLayout w:type="fixed"/>
        <w:tblCellMar>
          <w:top w:w="55" w:type="dxa"/>
          <w:start w:w="55" w:type="dxa"/>
          <w:bottom w:w="55" w:type="dxa"/>
          <w:end w:w="55" w:type="dxa"/>
        </w:tblCellMar>
      </w:tblPr>
      <w:tblGrid>
        <w:gridCol w:w="1994"/>
        <w:gridCol w:w="1994"/>
        <w:gridCol w:w="1995"/>
        <w:gridCol w:w="1994"/>
        <w:gridCol w:w="1995"/>
      </w:tblGrid>
      <w:tr>
        <w:trPr/>
        <w:tc>
          <w:tcPr>
            <w:tcW w:w="1994" w:type="dxa"/>
            <w:tcBorders>
              <w:top w:val="single" w:sz="4" w:space="0" w:color="000000"/>
              <w:start w:val="single" w:sz="4" w:space="0" w:color="000000"/>
              <w:bottom w:val="single" w:sz="4" w:space="0" w:color="000000"/>
            </w:tcBorders>
          </w:tcPr>
          <w:p>
            <w:pPr>
              <w:pStyle w:val="TableContents"/>
              <w:rPr/>
            </w:pPr>
            <w:r>
              <w:rPr/>
              <w:t xml:space="preserve">P </w:t>
            </w:r>
          </w:p>
        </w:tc>
        <w:tc>
          <w:tcPr>
            <w:tcW w:w="1994" w:type="dxa"/>
            <w:tcBorders>
              <w:top w:val="single" w:sz="4" w:space="0" w:color="000000"/>
              <w:start w:val="single" w:sz="4" w:space="0" w:color="000000"/>
              <w:bottom w:val="single" w:sz="4" w:space="0" w:color="000000"/>
            </w:tcBorders>
          </w:tcPr>
          <w:p>
            <w:pPr>
              <w:pStyle w:val="TableContents"/>
              <w:rPr/>
            </w:pPr>
            <w:r>
              <w:rPr/>
              <w:t>Xi</w:t>
            </w:r>
          </w:p>
        </w:tc>
        <w:tc>
          <w:tcPr>
            <w:tcW w:w="1995" w:type="dxa"/>
            <w:tcBorders>
              <w:top w:val="single" w:sz="4" w:space="0" w:color="000000"/>
              <w:start w:val="single" w:sz="4" w:space="0" w:color="000000"/>
              <w:bottom w:val="single" w:sz="4" w:space="0" w:color="000000"/>
            </w:tcBorders>
          </w:tcPr>
          <w:p>
            <w:pPr>
              <w:pStyle w:val="TableContents"/>
              <w:rPr/>
            </w:pPr>
            <w:r>
              <w:rPr/>
              <w:t>Xi -mean</w:t>
            </w:r>
          </w:p>
        </w:tc>
        <w:tc>
          <w:tcPr>
            <w:tcW w:w="1994" w:type="dxa"/>
            <w:tcBorders>
              <w:top w:val="single" w:sz="4" w:space="0" w:color="000000"/>
              <w:start w:val="single" w:sz="4" w:space="0" w:color="000000"/>
              <w:bottom w:val="single" w:sz="4" w:space="0" w:color="000000"/>
            </w:tcBorders>
          </w:tcPr>
          <w:p>
            <w:pPr>
              <w:pStyle w:val="TableContents"/>
              <w:rPr/>
            </w:pPr>
            <w:r>
              <w:rPr/>
              <w:t>(Xi -mean)^2</w:t>
            </w:r>
          </w:p>
        </w:tc>
        <w:tc>
          <w:tcPr>
            <w:tcW w:w="1995" w:type="dxa"/>
            <w:tcBorders>
              <w:top w:val="single" w:sz="4" w:space="0" w:color="000000"/>
              <w:start w:val="single" w:sz="4" w:space="0" w:color="000000"/>
              <w:bottom w:val="single" w:sz="4" w:space="0" w:color="000000"/>
              <w:end w:val="single" w:sz="4" w:space="0" w:color="000000"/>
            </w:tcBorders>
          </w:tcPr>
          <w:p>
            <w:pPr>
              <w:pStyle w:val="TableContents"/>
              <w:rPr/>
            </w:pPr>
            <w:r>
              <w:rPr/>
              <w:t>P(Xi -mean)^2</w:t>
            </w:r>
          </w:p>
        </w:tc>
      </w:tr>
      <w:tr>
        <w:trPr/>
        <w:tc>
          <w:tcPr>
            <w:tcW w:w="1994" w:type="dxa"/>
            <w:tcBorders>
              <w:start w:val="single" w:sz="4" w:space="0" w:color="000000"/>
              <w:bottom w:val="single" w:sz="4" w:space="0" w:color="000000"/>
            </w:tcBorders>
          </w:tcPr>
          <w:p>
            <w:pPr>
              <w:pStyle w:val="TableContents"/>
              <w:rPr/>
            </w:pPr>
            <w:r>
              <w:rPr/>
              <w:t>0.1</w:t>
            </w:r>
          </w:p>
        </w:tc>
        <w:tc>
          <w:tcPr>
            <w:tcW w:w="1994" w:type="dxa"/>
            <w:tcBorders>
              <w:start w:val="single" w:sz="4" w:space="0" w:color="000000"/>
              <w:bottom w:val="single" w:sz="4" w:space="0" w:color="000000"/>
            </w:tcBorders>
          </w:tcPr>
          <w:p>
            <w:pPr>
              <w:pStyle w:val="TableContents"/>
              <w:rPr/>
            </w:pPr>
            <w:r>
              <w:rPr/>
              <w:t>20%</w:t>
            </w:r>
          </w:p>
        </w:tc>
        <w:tc>
          <w:tcPr>
            <w:tcW w:w="1995" w:type="dxa"/>
            <w:tcBorders>
              <w:start w:val="single" w:sz="4" w:space="0" w:color="000000"/>
              <w:bottom w:val="single" w:sz="4" w:space="0" w:color="000000"/>
            </w:tcBorders>
          </w:tcPr>
          <w:p>
            <w:pPr>
              <w:pStyle w:val="TableContents"/>
              <w:rPr/>
            </w:pPr>
            <w:r>
              <w:rPr/>
              <w:t>0.6%</w:t>
            </w:r>
          </w:p>
        </w:tc>
        <w:tc>
          <w:tcPr>
            <w:tcW w:w="1994" w:type="dxa"/>
            <w:tcBorders>
              <w:start w:val="single" w:sz="4" w:space="0" w:color="000000"/>
              <w:bottom w:val="single" w:sz="4" w:space="0" w:color="000000"/>
            </w:tcBorders>
          </w:tcPr>
          <w:p>
            <w:pPr>
              <w:pStyle w:val="TableContents"/>
              <w:rPr/>
            </w:pPr>
            <w:r>
              <w:rPr/>
              <w:t>0.36%</w:t>
            </w:r>
          </w:p>
        </w:tc>
        <w:tc>
          <w:tcPr>
            <w:tcW w:w="1995" w:type="dxa"/>
            <w:tcBorders>
              <w:start w:val="single" w:sz="4" w:space="0" w:color="000000"/>
              <w:bottom w:val="single" w:sz="4" w:space="0" w:color="000000"/>
              <w:end w:val="single" w:sz="4" w:space="0" w:color="000000"/>
            </w:tcBorders>
          </w:tcPr>
          <w:p>
            <w:pPr>
              <w:pStyle w:val="TableContents"/>
              <w:rPr/>
            </w:pPr>
            <w:r>
              <w:rPr/>
              <w:t>0.036%</w:t>
            </w:r>
          </w:p>
        </w:tc>
      </w:tr>
      <w:tr>
        <w:trPr/>
        <w:tc>
          <w:tcPr>
            <w:tcW w:w="1994" w:type="dxa"/>
            <w:tcBorders>
              <w:start w:val="single" w:sz="4" w:space="0" w:color="000000"/>
              <w:bottom w:val="single" w:sz="4" w:space="0" w:color="000000"/>
            </w:tcBorders>
          </w:tcPr>
          <w:p>
            <w:pPr>
              <w:pStyle w:val="TableContents"/>
              <w:rPr/>
            </w:pPr>
            <w:r>
              <w:rPr/>
              <w:t>0.6</w:t>
            </w:r>
          </w:p>
        </w:tc>
        <w:tc>
          <w:tcPr>
            <w:tcW w:w="1994" w:type="dxa"/>
            <w:tcBorders>
              <w:start w:val="single" w:sz="4" w:space="0" w:color="000000"/>
              <w:bottom w:val="single" w:sz="4" w:space="0" w:color="000000"/>
            </w:tcBorders>
          </w:tcPr>
          <w:p>
            <w:pPr>
              <w:pStyle w:val="TableContents"/>
              <w:rPr/>
            </w:pPr>
            <w:r>
              <w:rPr/>
              <w:t>22%</w:t>
            </w:r>
          </w:p>
        </w:tc>
        <w:tc>
          <w:tcPr>
            <w:tcW w:w="1995" w:type="dxa"/>
            <w:tcBorders>
              <w:start w:val="single" w:sz="4" w:space="0" w:color="000000"/>
              <w:bottom w:val="single" w:sz="4" w:space="0" w:color="000000"/>
            </w:tcBorders>
          </w:tcPr>
          <w:p>
            <w:pPr>
              <w:pStyle w:val="TableContents"/>
              <w:rPr/>
            </w:pPr>
            <w:r>
              <w:rPr/>
              <w:t>2.6%</w:t>
            </w:r>
          </w:p>
        </w:tc>
        <w:tc>
          <w:tcPr>
            <w:tcW w:w="1994" w:type="dxa"/>
            <w:tcBorders>
              <w:start w:val="single" w:sz="4" w:space="0" w:color="000000"/>
              <w:bottom w:val="single" w:sz="4" w:space="0" w:color="000000"/>
            </w:tcBorders>
          </w:tcPr>
          <w:p>
            <w:pPr>
              <w:pStyle w:val="TableContents"/>
              <w:rPr/>
            </w:pPr>
            <w:r>
              <w:rPr/>
              <w:t>6.76%</w:t>
            </w:r>
          </w:p>
        </w:tc>
        <w:tc>
          <w:tcPr>
            <w:tcW w:w="1995" w:type="dxa"/>
            <w:tcBorders>
              <w:start w:val="single" w:sz="4" w:space="0" w:color="000000"/>
              <w:bottom w:val="single" w:sz="4" w:space="0" w:color="000000"/>
              <w:end w:val="single" w:sz="4" w:space="0" w:color="000000"/>
            </w:tcBorders>
          </w:tcPr>
          <w:p>
            <w:pPr>
              <w:pStyle w:val="TableContents"/>
              <w:rPr/>
            </w:pPr>
            <w:r>
              <w:rPr/>
              <w:t>4.056%</w:t>
            </w:r>
          </w:p>
        </w:tc>
      </w:tr>
      <w:tr>
        <w:trPr/>
        <w:tc>
          <w:tcPr>
            <w:tcW w:w="1994" w:type="dxa"/>
            <w:tcBorders>
              <w:start w:val="single" w:sz="4" w:space="0" w:color="000000"/>
              <w:bottom w:val="single" w:sz="4" w:space="0" w:color="000000"/>
            </w:tcBorders>
          </w:tcPr>
          <w:p>
            <w:pPr>
              <w:pStyle w:val="TableContents"/>
              <w:rPr/>
            </w:pPr>
            <w:r>
              <w:rPr/>
              <w:t>0.3</w:t>
            </w:r>
          </w:p>
        </w:tc>
        <w:tc>
          <w:tcPr>
            <w:tcW w:w="1994" w:type="dxa"/>
            <w:tcBorders>
              <w:start w:val="single" w:sz="4" w:space="0" w:color="000000"/>
              <w:bottom w:val="single" w:sz="4" w:space="0" w:color="000000"/>
            </w:tcBorders>
          </w:tcPr>
          <w:p>
            <w:pPr>
              <w:pStyle w:val="TableContents"/>
              <w:rPr/>
            </w:pPr>
            <w:r>
              <w:rPr/>
              <w:t>14%</w:t>
            </w:r>
          </w:p>
        </w:tc>
        <w:tc>
          <w:tcPr>
            <w:tcW w:w="1995" w:type="dxa"/>
            <w:tcBorders>
              <w:start w:val="single" w:sz="4" w:space="0" w:color="000000"/>
              <w:bottom w:val="single" w:sz="4" w:space="0" w:color="000000"/>
            </w:tcBorders>
          </w:tcPr>
          <w:p>
            <w:pPr>
              <w:pStyle w:val="TableContents"/>
              <w:rPr/>
            </w:pPr>
            <w:r>
              <w:rPr/>
              <w:t>-5.4%</w:t>
            </w:r>
          </w:p>
        </w:tc>
        <w:tc>
          <w:tcPr>
            <w:tcW w:w="1994" w:type="dxa"/>
            <w:tcBorders>
              <w:start w:val="single" w:sz="4" w:space="0" w:color="000000"/>
              <w:bottom w:val="single" w:sz="4" w:space="0" w:color="000000"/>
            </w:tcBorders>
          </w:tcPr>
          <w:p>
            <w:pPr>
              <w:pStyle w:val="TableContents"/>
              <w:rPr/>
            </w:pPr>
            <w:r>
              <w:rPr/>
              <w:t>29.16%</w:t>
            </w:r>
          </w:p>
        </w:tc>
        <w:tc>
          <w:tcPr>
            <w:tcW w:w="1995" w:type="dxa"/>
            <w:tcBorders>
              <w:start w:val="single" w:sz="4" w:space="0" w:color="000000"/>
              <w:bottom w:val="single" w:sz="4" w:space="0" w:color="000000"/>
              <w:end w:val="single" w:sz="4" w:space="0" w:color="000000"/>
            </w:tcBorders>
          </w:tcPr>
          <w:p>
            <w:pPr>
              <w:pStyle w:val="TableContents"/>
              <w:rPr/>
            </w:pPr>
            <w:r>
              <w:rPr/>
              <w:t>8.748%</w:t>
            </w:r>
          </w:p>
        </w:tc>
      </w:tr>
      <w:tr>
        <w:trPr/>
        <w:tc>
          <w:tcPr>
            <w:tcW w:w="1994"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t>Mean =  19.4%</w:t>
            </w:r>
          </w:p>
        </w:tc>
        <w:tc>
          <w:tcPr>
            <w:tcW w:w="1995" w:type="dxa"/>
            <w:tcBorders>
              <w:start w:val="single" w:sz="4" w:space="0" w:color="000000"/>
              <w:bottom w:val="single" w:sz="4" w:space="0" w:color="000000"/>
            </w:tcBorders>
          </w:tcPr>
          <w:p>
            <w:pPr>
              <w:pStyle w:val="TableContents"/>
              <w:rPr/>
            </w:pPr>
            <w:r>
              <w:rPr/>
            </w:r>
          </w:p>
        </w:tc>
        <w:tc>
          <w:tcPr>
            <w:tcW w:w="1994" w:type="dxa"/>
            <w:tcBorders>
              <w:start w:val="single" w:sz="4" w:space="0" w:color="000000"/>
              <w:bottom w:val="single" w:sz="4" w:space="0" w:color="000000"/>
            </w:tcBorders>
          </w:tcPr>
          <w:p>
            <w:pPr>
              <w:pStyle w:val="TableContents"/>
              <w:rPr/>
            </w:pPr>
            <w:r>
              <w:rPr/>
            </w:r>
          </w:p>
        </w:tc>
        <w:tc>
          <w:tcPr>
            <w:tcW w:w="1995" w:type="dxa"/>
            <w:tcBorders>
              <w:start w:val="single" w:sz="4" w:space="0" w:color="000000"/>
              <w:bottom w:val="single" w:sz="4" w:space="0" w:color="000000"/>
              <w:end w:val="single" w:sz="4" w:space="0" w:color="000000"/>
            </w:tcBorders>
          </w:tcPr>
          <w:p>
            <w:pPr>
              <w:pStyle w:val="TableContents"/>
              <w:rPr/>
            </w:pPr>
            <w:r>
              <w:rPr/>
              <w:t>∑</w:t>
            </w:r>
            <w:r>
              <w:rPr/>
              <w:t>P(Xi -mean)^2 =12.84%</w:t>
            </w:r>
          </w:p>
        </w:tc>
      </w:tr>
    </w:tbl>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t xml:space="preserve">Variance (δ^2)  = </w:t>
      </w:r>
      <w:r>
        <w:rPr>
          <w:b w:val="false"/>
          <w:bCs w:val="false"/>
        </w:rPr>
        <w:t>( ∑P(Xi -mean)^2 ) /  n-1</w:t>
      </w:r>
    </w:p>
    <w:p>
      <w:pPr>
        <w:pStyle w:val="Normal"/>
        <w:bidi w:val="0"/>
        <w:jc w:val="start"/>
        <w:rPr>
          <w:b w:val="false"/>
          <w:bCs w:val="false"/>
        </w:rPr>
      </w:pPr>
      <w:r>
        <w:rPr>
          <w:b w:val="false"/>
          <w:bCs w:val="false"/>
        </w:rPr>
        <w:t>=  12.84/ (3-1)</w:t>
      </w:r>
    </w:p>
    <w:p>
      <w:pPr>
        <w:pStyle w:val="Normal"/>
        <w:bidi w:val="0"/>
        <w:jc w:val="start"/>
        <w:rPr>
          <w:b w:val="false"/>
          <w:bCs w:val="false"/>
        </w:rPr>
      </w:pPr>
      <w:r>
        <w:rPr>
          <w:b w:val="false"/>
          <w:bCs w:val="false"/>
        </w:rPr>
        <w:t>= 6.42</w:t>
      </w:r>
    </w:p>
    <w:p>
      <w:pPr>
        <w:pStyle w:val="Normal"/>
        <w:bidi w:val="0"/>
        <w:jc w:val="start"/>
        <w:rPr>
          <w:b/>
          <w:bCs/>
        </w:rPr>
      </w:pPr>
      <w:r>
        <w:rPr>
          <w:b/>
          <w:bCs/>
        </w:rPr>
        <w:t xml:space="preserve">Standard deviation = </w:t>
      </w:r>
      <w:r>
        <w:rPr>
          <w:b w:val="false"/>
          <w:bCs w:val="false"/>
        </w:rPr>
        <w:t xml:space="preserve"> √Variance</w:t>
      </w:r>
    </w:p>
    <w:p>
      <w:pPr>
        <w:pStyle w:val="Normal"/>
        <w:bidi w:val="0"/>
        <w:jc w:val="start"/>
        <w:rPr>
          <w:b w:val="false"/>
          <w:bCs w:val="false"/>
        </w:rPr>
      </w:pPr>
      <w:r>
        <w:rPr>
          <w:b w:val="false"/>
          <w:bCs w:val="false"/>
        </w:rPr>
        <w:t>= √(6.42)</w:t>
      </w:r>
    </w:p>
    <w:p>
      <w:pPr>
        <w:pStyle w:val="Normal"/>
        <w:bidi w:val="0"/>
        <w:jc w:val="start"/>
        <w:rPr>
          <w:b w:val="false"/>
          <w:bCs w:val="false"/>
        </w:rPr>
      </w:pPr>
      <w:r>
        <w:rPr>
          <w:b w:val="false"/>
          <w:bCs w:val="false"/>
        </w:rPr>
        <w:t>=2.534</w:t>
      </w:r>
    </w:p>
    <w:p>
      <w:pPr>
        <w:pStyle w:val="Normal"/>
        <w:bidi w:val="0"/>
        <w:jc w:val="start"/>
        <w:rPr>
          <w:b/>
          <w:bCs/>
        </w:rPr>
      </w:pPr>
      <w:r>
        <w:rPr>
          <w:b/>
          <w:bCs/>
        </w:rPr>
      </w:r>
    </w:p>
    <w:p>
      <w:pPr>
        <w:pStyle w:val="Normal"/>
        <w:bidi w:val="0"/>
        <w:jc w:val="start"/>
        <w:rPr>
          <w:b w:val="false"/>
          <w:bCs w:val="false"/>
        </w:rPr>
      </w:pPr>
      <w:r>
        <w:rPr>
          <w:b w:val="false"/>
          <w:bCs w:val="false"/>
        </w:rPr>
        <w:t>Therefore , the Risk of  Kenya 6.42% and the return of Kenya is 19.4%</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2) Based on the above information, calculate the risk and return of the proposed international</w:t>
      </w:r>
    </w:p>
    <w:p>
      <w:pPr>
        <w:pStyle w:val="Normal"/>
        <w:bidi w:val="0"/>
        <w:jc w:val="start"/>
        <w:rPr>
          <w:b/>
          <w:bCs/>
        </w:rPr>
      </w:pPr>
      <w:r>
        <w:rPr>
          <w:b/>
          <w:bCs/>
        </w:rPr>
        <w:t>portfolio. Calculate the coefficient of variation of the above portfolio and state what it</w:t>
      </w:r>
    </w:p>
    <w:p>
      <w:pPr>
        <w:pStyle w:val="Normal"/>
        <w:bidi w:val="0"/>
        <w:jc w:val="start"/>
        <w:rPr>
          <w:b/>
          <w:bCs/>
        </w:rPr>
      </w:pPr>
      <w:r>
        <w:rPr>
          <w:b/>
          <w:bCs/>
        </w:rPr>
        <w:t>measures</w:t>
      </w:r>
    </w:p>
    <w:p>
      <w:pPr>
        <w:pStyle w:val="Normal"/>
        <w:bidi w:val="0"/>
        <w:jc w:val="start"/>
        <w:rPr>
          <w:b/>
          <w:bCs/>
        </w:rPr>
      </w:pPr>
      <w:r>
        <w:rPr>
          <w:b/>
          <w:bCs/>
        </w:rPr>
      </w:r>
    </w:p>
    <w:p>
      <w:pPr>
        <w:pStyle w:val="Normal"/>
        <w:bidi w:val="0"/>
        <w:jc w:val="start"/>
        <w:rPr>
          <w:b/>
          <w:bCs/>
        </w:rPr>
      </w:pPr>
      <w:r>
        <w:rPr>
          <w:b/>
          <w:bCs/>
        </w:rPr>
        <w:t>SOLUTION</w:t>
      </w:r>
    </w:p>
    <w:p>
      <w:pPr>
        <w:pStyle w:val="Normal"/>
        <w:bidi w:val="0"/>
        <w:jc w:val="start"/>
        <w:rPr>
          <w:b/>
          <w:bCs/>
        </w:rPr>
      </w:pPr>
      <w:r>
        <w:rPr>
          <w:b/>
          <w:bCs/>
        </w:rPr>
        <w:t>Expected return of portfolio</w:t>
      </w:r>
    </w:p>
    <w:p>
      <w:pPr>
        <w:pStyle w:val="Normal"/>
        <w:bidi w:val="0"/>
        <w:jc w:val="start"/>
        <w:rPr>
          <w:b w:val="false"/>
          <w:bCs w:val="false"/>
        </w:rPr>
      </w:pPr>
      <w:r>
        <w:rPr>
          <w:b w:val="false"/>
          <w:bCs w:val="false"/>
        </w:rPr>
        <w:t>E(r)p = W1E(r)1 + W2E(r)2 +  W3E(r)3</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mean Xp =  W1X1 + W2X2 + W3X3 </w:t>
      </w:r>
    </w:p>
    <w:p>
      <w:pPr>
        <w:pStyle w:val="Normal"/>
        <w:bidi w:val="0"/>
        <w:jc w:val="start"/>
        <w:rPr>
          <w:b w:val="false"/>
          <w:bCs w:val="false"/>
        </w:rPr>
      </w:pPr>
      <w:r>
        <w:rPr>
          <w:b w:val="false"/>
          <w:bCs w:val="false"/>
        </w:rPr>
        <w:t>= (6.333×12.7%) + (0.333×20.8%) + (0.333×19.4%)</w:t>
      </w:r>
    </w:p>
    <w:p>
      <w:pPr>
        <w:pStyle w:val="Normal"/>
        <w:bidi w:val="0"/>
        <w:jc w:val="start"/>
        <w:rPr>
          <w:b w:val="false"/>
          <w:bCs w:val="false"/>
        </w:rPr>
      </w:pPr>
      <w:r>
        <w:rPr>
          <w:b w:val="false"/>
          <w:bCs w:val="false"/>
        </w:rPr>
        <w:t>= 17.615 7%</w:t>
      </w:r>
    </w:p>
    <w:p>
      <w:pPr>
        <w:pStyle w:val="Normal"/>
        <w:bidi w:val="0"/>
        <w:jc w:val="start"/>
        <w:rPr>
          <w:b w:val="false"/>
          <w:bCs w:val="false"/>
        </w:rPr>
      </w:pPr>
      <w:r>
        <w:rPr>
          <w:b w:val="false"/>
          <w:bCs w:val="false"/>
        </w:rPr>
      </w:r>
    </w:p>
    <w:p>
      <w:pPr>
        <w:pStyle w:val="Normal"/>
        <w:bidi w:val="0"/>
        <w:jc w:val="start"/>
        <w:rPr>
          <w:b/>
          <w:bCs/>
        </w:rPr>
      </w:pPr>
      <w:r>
        <w:rPr>
          <w:b/>
          <w:bCs/>
        </w:rPr>
        <w:t>Risk of portfolio</w:t>
      </w:r>
    </w:p>
    <w:p>
      <w:pPr>
        <w:pStyle w:val="Normal"/>
        <w:bidi w:val="0"/>
        <w:jc w:val="start"/>
        <w:rPr>
          <w:b w:val="false"/>
          <w:bCs w:val="false"/>
        </w:rPr>
      </w:pPr>
      <w:r>
        <w:rPr>
          <w:b w:val="false"/>
          <w:bCs w:val="false"/>
        </w:rPr>
        <w:t xml:space="preserve">δ^(2)p = W1^(2)δ1^(2) +  W2^(2)δ2^(2) +  W3^(2)δ3^(2) + 2W1W2P1P2δ1δ2 + 2W2W2P2P3δ2δ3  + 2W1W3P1P3δ1δ3 </w:t>
      </w:r>
    </w:p>
    <w:p>
      <w:pPr>
        <w:pStyle w:val="Normal"/>
        <w:bidi w:val="0"/>
        <w:jc w:val="start"/>
        <w:rPr>
          <w:b w:val="false"/>
          <w:bCs w:val="false"/>
        </w:rPr>
      </w:pPr>
      <w:r>
        <w:rPr>
          <w:b w:val="false"/>
          <w:bCs w:val="false"/>
        </w:rPr>
      </w:r>
    </w:p>
    <w:p>
      <w:pPr>
        <w:pStyle w:val="Normal"/>
        <w:bidi w:val="0"/>
        <w:jc w:val="start"/>
        <w:rPr>
          <w:b/>
          <w:bCs/>
          <w:i/>
          <w:i/>
          <w:iCs/>
        </w:rPr>
      </w:pPr>
      <w:r>
        <w:rPr>
          <w:b/>
          <w:bCs/>
          <w:i/>
          <w:iCs/>
        </w:rPr>
        <w:t>since there is no correlation</w:t>
      </w:r>
    </w:p>
    <w:p>
      <w:pPr>
        <w:pStyle w:val="Normal"/>
        <w:bidi w:val="0"/>
        <w:jc w:val="start"/>
        <w:rPr>
          <w:b/>
          <w:bCs/>
          <w:i/>
          <w:i/>
          <w:iCs/>
        </w:rPr>
      </w:pPr>
      <w:r>
        <w:rPr>
          <w:b/>
          <w:bCs/>
          <w:i/>
          <w:iCs/>
        </w:rPr>
      </w:r>
    </w:p>
    <w:p>
      <w:pPr>
        <w:pStyle w:val="Normal"/>
        <w:bidi w:val="0"/>
        <w:jc w:val="start"/>
        <w:rPr>
          <w:b w:val="false"/>
          <w:bCs w:val="false"/>
        </w:rPr>
      </w:pPr>
      <w:r>
        <w:rPr>
          <w:b w:val="false"/>
          <w:bCs w:val="false"/>
        </w:rPr>
        <w:t xml:space="preserve">δ^(2)p  = W1^(2)δ1^(2) +  W2^(2)δ2^(2)  +  W3^(2)δ3^(2) </w:t>
      </w:r>
    </w:p>
    <w:p>
      <w:pPr>
        <w:pStyle w:val="Normal"/>
        <w:bidi w:val="0"/>
        <w:jc w:val="start"/>
        <w:rPr>
          <w:b w:val="false"/>
          <w:bCs w:val="false"/>
        </w:rPr>
      </w:pPr>
      <w:r>
        <w:rPr>
          <w:b w:val="false"/>
          <w:bCs w:val="false"/>
        </w:rPr>
        <w:t xml:space="preserve">            </w:t>
      </w:r>
      <w:r>
        <w:rPr>
          <w:b w:val="false"/>
          <w:bCs w:val="false"/>
        </w:rPr>
        <w:t>= ((0.333^2) x 1.205) +  ((0.333^2) x 4.98) + ((0.333^2) x 6.42)</w:t>
      </w:r>
    </w:p>
    <w:p>
      <w:pPr>
        <w:pStyle w:val="Normal"/>
        <w:bidi w:val="0"/>
        <w:jc w:val="start"/>
        <w:rPr>
          <w:b w:val="false"/>
          <w:bCs w:val="false"/>
        </w:rPr>
      </w:pPr>
      <w:r>
        <w:rPr>
          <w:b w:val="false"/>
          <w:bCs w:val="false"/>
        </w:rPr>
        <w:t xml:space="preserve">            </w:t>
      </w:r>
      <w:r>
        <w:rPr>
          <w:b w:val="false"/>
          <w:bCs w:val="false"/>
        </w:rPr>
        <w:t>= 1.40885%</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Therefore, Risk of the portfolio </w:t>
      </w:r>
      <w:r>
        <w:rPr>
          <w:b/>
          <w:bCs/>
        </w:rPr>
        <w:t>1.40885%,</w:t>
      </w:r>
      <w:r>
        <w:rPr>
          <w:b w:val="false"/>
          <w:bCs w:val="false"/>
        </w:rPr>
        <w:t xml:space="preserve"> while return of the portfolio is</w:t>
      </w:r>
      <w:r>
        <w:rPr>
          <w:b/>
          <w:bCs/>
        </w:rPr>
        <w:t xml:space="preserve"> 17.6157%</w:t>
      </w:r>
    </w:p>
    <w:p>
      <w:pPr>
        <w:pStyle w:val="Normal"/>
        <w:bidi w:val="0"/>
        <w:jc w:val="start"/>
        <w:rPr>
          <w:b/>
          <w:bCs/>
        </w:rPr>
      </w:pPr>
      <w:r>
        <w:rPr>
          <w:b w:val="false"/>
          <w:bCs w:val="false"/>
        </w:rPr>
      </w:r>
    </w:p>
    <w:p>
      <w:pPr>
        <w:pStyle w:val="Normal"/>
        <w:bidi w:val="0"/>
        <w:jc w:val="start"/>
        <w:rPr>
          <w:b w:val="false"/>
          <w:bCs w:val="false"/>
        </w:rPr>
      </w:pPr>
      <w:r>
        <w:rPr>
          <w:b/>
          <w:bCs/>
        </w:rPr>
        <w:t xml:space="preserve">Coefficient of variation of portfolio </w:t>
      </w:r>
    </w:p>
    <w:p>
      <w:pPr>
        <w:pStyle w:val="Normal"/>
        <w:bidi w:val="0"/>
        <w:jc w:val="start"/>
        <w:rPr>
          <w:b w:val="false"/>
          <w:bCs w:val="false"/>
        </w:rPr>
      </w:pPr>
      <w:r>
        <w:rPr>
          <w:b/>
          <w:bCs/>
        </w:rPr>
        <w:t>Solution:</w:t>
      </w:r>
    </w:p>
    <w:p>
      <w:pPr>
        <w:pStyle w:val="Normal"/>
        <w:bidi w:val="0"/>
        <w:jc w:val="start"/>
        <w:rPr>
          <w:b/>
          <w:bCs/>
        </w:rPr>
      </w:pPr>
      <w:r>
        <w:rPr>
          <w:b w:val="false"/>
          <w:bCs w:val="false"/>
        </w:rPr>
      </w:r>
    </w:p>
    <w:p>
      <w:pPr>
        <w:pStyle w:val="Normal"/>
        <w:bidi w:val="0"/>
        <w:jc w:val="start"/>
        <w:rPr>
          <w:b w:val="false"/>
          <w:bCs w:val="false"/>
        </w:rPr>
      </w:pPr>
      <w:r>
        <w:rPr>
          <w:b w:val="false"/>
          <w:bCs w:val="false"/>
        </w:rPr>
        <w:t>CV = Standard Deviation (δp) of the portfolio / Expected Return of the portfolio</w:t>
      </w:r>
    </w:p>
    <w:p>
      <w:pPr>
        <w:pStyle w:val="Normal"/>
        <w:bidi w:val="0"/>
        <w:jc w:val="start"/>
        <w:rPr>
          <w:b w:val="false"/>
          <w:bCs w:val="false"/>
        </w:rPr>
      </w:pPr>
      <w:r>
        <w:rPr>
          <w:b w:val="false"/>
          <w:bCs w:val="false"/>
        </w:rPr>
        <w:t>CV = ((√ (1.40885)) / 17.6157) x 100</w:t>
      </w:r>
    </w:p>
    <w:p>
      <w:pPr>
        <w:pStyle w:val="Normal"/>
        <w:bidi w:val="0"/>
        <w:jc w:val="start"/>
        <w:rPr>
          <w:b w:val="false"/>
          <w:bCs w:val="false"/>
        </w:rPr>
      </w:pPr>
      <w:r>
        <w:rPr>
          <w:b w:val="false"/>
          <w:bCs w:val="false"/>
        </w:rPr>
        <w:t>CV = (1.18695 / 17.6157 ) x 100</w:t>
      </w:r>
    </w:p>
    <w:p>
      <w:pPr>
        <w:pStyle w:val="Normal"/>
        <w:bidi w:val="0"/>
        <w:jc w:val="start"/>
        <w:rPr>
          <w:b w:val="false"/>
          <w:bCs w:val="false"/>
        </w:rPr>
      </w:pPr>
      <w:r>
        <w:rPr>
          <w:b w:val="false"/>
          <w:bCs w:val="false"/>
        </w:rPr>
        <w:t>CV = 6.738%</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Therefore, the CV (Coefficient of variation) is 6.738%</w:t>
      </w:r>
    </w:p>
    <w:p>
      <w:pPr>
        <w:pStyle w:val="Normal"/>
        <w:bidi w:val="0"/>
        <w:jc w:val="start"/>
        <w:rPr>
          <w:b w:val="false"/>
          <w:bCs w:val="false"/>
        </w:rPr>
      </w:pPr>
      <w:r>
        <w:rPr>
          <w:b w:val="false"/>
          <w:bCs w:val="false"/>
        </w:rPr>
        <w:t>- Also the CV measures the Risk to reward ration of each security and develops on investment decisions</w:t>
      </w:r>
    </w:p>
    <w:p>
      <w:pPr>
        <w:pStyle w:val="Normal"/>
        <w:bidi w:val="0"/>
        <w:jc w:val="start"/>
        <w:rPr>
          <w:b w:val="false"/>
          <w:bCs w:val="false"/>
        </w:rPr>
      </w:pPr>
      <w:r>
        <w:rPr>
          <w:b w:val="false"/>
          <w:bCs w:val="false"/>
        </w:rPr>
        <w:t>- Since we have lower CV, it provides the most optimal risk-to-reward ratio with low volatility but high returns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i/>
          <w:i/>
          <w:iCs/>
        </w:rPr>
      </w:pPr>
      <w:r>
        <w:rPr>
          <w:b/>
          <w:bCs/>
          <w:i/>
          <w:iCs/>
        </w:rPr>
      </w:r>
    </w:p>
    <w:p>
      <w:pPr>
        <w:pStyle w:val="Normal"/>
        <w:bidi w:val="0"/>
        <w:jc w:val="start"/>
        <w:rPr>
          <w:b/>
          <w:bCs/>
          <w:i/>
          <w:i/>
          <w:iCs/>
        </w:rPr>
      </w:pPr>
      <w:r>
        <w:rPr>
          <w:b/>
          <w:bCs/>
          <w:i/>
          <w:iCs/>
        </w:rPr>
      </w:r>
    </w:p>
    <w:p>
      <w:pPr>
        <w:pStyle w:val="Normal"/>
        <w:bidi w:val="0"/>
        <w:jc w:val="start"/>
        <w:rPr>
          <w:b/>
          <w:bCs/>
          <w:i/>
          <w:i/>
          <w:iCs/>
        </w:rPr>
      </w:pPr>
      <w:r>
        <w:rPr>
          <w:b/>
          <w:bCs/>
          <w:i/>
          <w:i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QUESTION  THREE:</w:t>
      </w:r>
    </w:p>
    <w:p>
      <w:pPr>
        <w:pStyle w:val="Normal"/>
        <w:bidi w:val="0"/>
        <w:jc w:val="start"/>
        <w:rPr>
          <w:b/>
          <w:bCs/>
        </w:rPr>
      </w:pPr>
      <w:r>
        <w:rPr>
          <w:b/>
          <w:bCs/>
        </w:rPr>
      </w:r>
    </w:p>
    <w:p>
      <w:pPr>
        <w:pStyle w:val="Normal"/>
        <w:bidi w:val="0"/>
        <w:jc w:val="start"/>
        <w:rPr/>
      </w:pPr>
      <w:r>
        <w:rPr/>
        <w:t xml:space="preserve">Assessing and managing political risk in foreign projects is crucial for a parent firm considering investment opportunities in a foreign country. </w:t>
      </w:r>
      <w:r>
        <w:rPr>
          <w:b/>
          <w:bCs/>
          <w:i/>
          <w:iCs/>
        </w:rPr>
        <w:t>Political risk</w:t>
      </w:r>
      <w:r>
        <w:rPr/>
        <w:t xml:space="preserve"> refers to the potential for adverse political events or conditions that could impact the profitability, stability, or success of an investment. Here are various approaches to assess and manage political risk:</w:t>
      </w:r>
    </w:p>
    <w:p>
      <w:pPr>
        <w:pStyle w:val="Normal"/>
        <w:bidi w:val="0"/>
        <w:jc w:val="start"/>
        <w:rPr/>
      </w:pPr>
      <w:r>
        <w:rPr/>
      </w:r>
    </w:p>
    <w:p>
      <w:pPr>
        <w:pStyle w:val="Normal"/>
        <w:bidi w:val="0"/>
        <w:jc w:val="both"/>
        <w:rPr/>
      </w:pPr>
      <w:r>
        <w:rPr>
          <w:b/>
          <w:bCs/>
        </w:rPr>
        <w:t xml:space="preserve">Political Risk Assessment: </w:t>
      </w:r>
      <w:r>
        <w:rPr/>
        <w:t>Political risk assessment involves a comprehensive evaluation of the political environment in a foreign country to mitigate potential challenges for a parent firm's investments. This process includes in-depth country analysis, encompassing factors such as stability, governance structures, legal frameworks, and historical political events. Through thorough examination, the firm gains insights into the potential risks and opportunities within the political landscape. Additionally, political stability indicators, such as widely recognized indices like the Political Risk Services (PRS) Index or the World Bank's Worldwide Governance Indicators, are employed to quantify and measure the stability of a country's political environment. These indicators provide valuable quantitative data, aiding decision-makers in assessing the level of political risk associated with potential investments and informing strategic decisions to enhance the firm's resilience in foreign markets.</w:t>
      </w:r>
    </w:p>
    <w:p>
      <w:pPr>
        <w:pStyle w:val="Normal"/>
        <w:bidi w:val="0"/>
        <w:jc w:val="both"/>
        <w:rPr/>
      </w:pPr>
      <w:r>
        <w:rPr/>
      </w:r>
    </w:p>
    <w:p>
      <w:pPr>
        <w:pStyle w:val="Normal"/>
        <w:bidi w:val="0"/>
        <w:jc w:val="both"/>
        <w:rPr/>
      </w:pPr>
      <w:r>
        <w:rPr>
          <w:b/>
          <w:bCs/>
        </w:rPr>
        <w:t xml:space="preserve">Government Relations and Due Diligence: </w:t>
      </w:r>
      <w:r>
        <w:rPr/>
        <w:t>In the context of political risk management, government relations and due diligence play pivotal roles in ensuring a parent firm's successful engagement in foreign markets. Firstly, building positive relationships with local government officials and authorities is emphasized as it facilitates a nuanced understanding of the political landscape and potential risks. By fostering such connections, the firm gains insights into local political dynamics and regulatory frameworks, enhancing its ability to navigate complex environments. Additionally, conducting comprehensive due diligence is crucial. This involves a thorough examination of the political climate, encompassing the stability of the government, political parties, and the regulatory environment. Through meticulous research and analysis, the firm can identify potential challenges and opportunities, enabling informed decision-making and proactive strategies to mitigate political risks. Together, these approaches underscore the importance of proactive engagement and thorough assessment in managing political risks associated with foreign investments.</w:t>
      </w:r>
    </w:p>
    <w:p>
      <w:pPr>
        <w:pStyle w:val="Normal"/>
        <w:bidi w:val="0"/>
        <w:jc w:val="both"/>
        <w:rPr/>
      </w:pPr>
      <w:r>
        <w:rPr/>
      </w:r>
    </w:p>
    <w:p>
      <w:pPr>
        <w:pStyle w:val="Normal"/>
        <w:bidi w:val="0"/>
        <w:jc w:val="both"/>
        <w:rPr/>
      </w:pPr>
      <w:r>
        <w:rPr>
          <w:b/>
          <w:bCs/>
        </w:rPr>
        <w:t xml:space="preserve">Insurance and Hedging Strategies: </w:t>
      </w:r>
      <w:r>
        <w:rPr>
          <w:b w:val="false"/>
          <w:bCs w:val="false"/>
        </w:rPr>
        <w:t>In the realm of political risk management for foreign investments, insurance and hedging strategies serve as crucial mechanisms to safeguard a parent firm's financial interests. Political risk insurance emerges as a key tool, allowing the firm to protect itself against potential financial losses stemming from adverse government actions, expropriation, or political violence in the host country. This proactive measure provides a financial safety net, mitigating the impact of unpredictable political events on the firm's investments. Additionally, currency hedging strategies are employed to counter the risks associated with adverse currency movements triggered by political events. By implementing such hedging mechanisms, the firm seeks to minimize the impact of currency fluctuations on its financial performance, thereby enhancing overall resilience in the face of political uncertainties. Together, political risk insurance and currency hedging strategies contribute to a comprehensive risk management approach, bolstering the firm's ability to navigate challenging political landscapes in foreign markets.</w:t>
      </w:r>
    </w:p>
    <w:p>
      <w:pPr>
        <w:pStyle w:val="Normal"/>
        <w:bidi w:val="0"/>
        <w:jc w:val="both"/>
        <w:rPr>
          <w:b w:val="false"/>
          <w:bCs w:val="false"/>
        </w:rPr>
      </w:pPr>
      <w:r>
        <w:rPr/>
      </w:r>
    </w:p>
    <w:p>
      <w:pPr>
        <w:pStyle w:val="Normal"/>
        <w:bidi w:val="0"/>
        <w:jc w:val="both"/>
        <w:rPr>
          <w:b w:val="false"/>
          <w:bCs w:val="false"/>
        </w:rPr>
      </w:pPr>
      <w:r>
        <w:rPr/>
      </w:r>
    </w:p>
    <w:p>
      <w:pPr>
        <w:pStyle w:val="Normal"/>
        <w:bidi w:val="0"/>
        <w:jc w:val="both"/>
        <w:rPr>
          <w:b w:val="false"/>
          <w:bCs w:val="false"/>
        </w:rPr>
      </w:pPr>
      <w:r>
        <w:rPr/>
      </w:r>
    </w:p>
    <w:p>
      <w:pPr>
        <w:pStyle w:val="Normal"/>
        <w:bidi w:val="0"/>
        <w:jc w:val="both"/>
        <w:rPr>
          <w:b w:val="false"/>
          <w:bCs w:val="false"/>
        </w:rPr>
      </w:pPr>
      <w:r>
        <w:rPr/>
      </w:r>
    </w:p>
    <w:p>
      <w:pPr>
        <w:pStyle w:val="Normal"/>
        <w:bidi w:val="0"/>
        <w:jc w:val="both"/>
        <w:rPr>
          <w:b w:val="false"/>
          <w:bCs w:val="false"/>
        </w:rPr>
      </w:pPr>
      <w:r>
        <w:rPr/>
      </w:r>
    </w:p>
    <w:p>
      <w:pPr>
        <w:pStyle w:val="Normal"/>
        <w:bidi w:val="0"/>
        <w:jc w:val="both"/>
        <w:rPr>
          <w:b/>
          <w:bCs/>
        </w:rPr>
      </w:pPr>
      <w:r>
        <w:rPr>
          <w:b/>
          <w:bCs/>
        </w:rPr>
        <w:t xml:space="preserve">Legal Protection: </w:t>
      </w:r>
      <w:r>
        <w:rPr>
          <w:b w:val="false"/>
          <w:bCs w:val="false"/>
        </w:rPr>
        <w:t>Legal protection strategies form a critical component of a parent firm's approach to managing political risks associated with foreign investments. Leveraging investment treaties is highlighted as a key measure, wherein the firm can take advantage of bilateral or multilateral agreements that extend legal protections to foreign investors. These treaties often include provisions safeguarding against arbitrary government actions and expropriation. Additionally, emphasizing the importance of robust contractual agreements, the firm is advised to ensure that arrangements with local partners and stakeholders incorporate dispute resolution mechanisms and specific provisions designed to address potential political risk events. By proactively structuring legal frameworks through treaties and contractual agreements, the parent firm enhances its ability to seek legal recourse and protection in the event of unforeseen political challenges, contributing to a more secure and resilient investment environment in the foreign market.</w:t>
      </w:r>
    </w:p>
    <w:p>
      <w:pPr>
        <w:pStyle w:val="Normal"/>
        <w:bidi w:val="0"/>
        <w:jc w:val="both"/>
        <w:rPr>
          <w:b/>
          <w:bCs/>
        </w:rPr>
      </w:pPr>
      <w:r>
        <w:rPr>
          <w:b/>
          <w:bCs/>
        </w:rPr>
      </w:r>
    </w:p>
    <w:p>
      <w:pPr>
        <w:pStyle w:val="Normal"/>
        <w:bidi w:val="0"/>
        <w:jc w:val="both"/>
        <w:rPr/>
      </w:pPr>
      <w:r>
        <w:rPr>
          <w:b/>
          <w:bCs/>
        </w:rPr>
        <w:t xml:space="preserve">Diversification: </w:t>
      </w:r>
      <w:r>
        <w:rPr>
          <w:b w:val="false"/>
          <w:bCs w:val="false"/>
        </w:rPr>
        <w:t>This strategies play a vital role in mitigating political risks associated with foreign investments for a parent firm. Portfolio diversification involves spreading investments across multiple countries or regions, thereby reducing the concentration of risk in any single location. By distributing investments geographically, the firm minimizes its exposure to the political dynamics of a particular country, thus enhancing overall resilience. Similarly, industry diversification is emphasized as a means to decrease reliance on a single sector within a foreign country. Investing in various industries allows the firm to navigate economic and political challenges more effectively, as the performance of different sectors may be influenced by distinct factors. In essence, both portfolio and industry diversification contribute to a well-rounded risk management strategy, enabling the firm to better withstand the impact of political uncertainties and fluctuations in specific regions or sectors.</w:t>
      </w:r>
    </w:p>
    <w:p>
      <w:pPr>
        <w:pStyle w:val="Normal"/>
        <w:bidi w:val="0"/>
        <w:jc w:val="both"/>
        <w:rPr/>
      </w:pPr>
      <w:r>
        <w:rPr/>
      </w:r>
    </w:p>
    <w:p>
      <w:pPr>
        <w:pStyle w:val="Normal"/>
        <w:bidi w:val="0"/>
        <w:jc w:val="both"/>
        <w:rPr/>
      </w:pPr>
      <w:r>
        <w:rPr>
          <w:b/>
          <w:bCs/>
        </w:rPr>
        <w:t xml:space="preserve">Scenario Planning: </w:t>
      </w:r>
      <w:r>
        <w:rPr>
          <w:b w:val="false"/>
          <w:bCs w:val="false"/>
        </w:rPr>
        <w:t>This is a strategic approach to managing political risk in foreign projects by envisioning and preparing for different plausible future scenarios. This methodology involves identifying and analyzing various potential political developments that could impact the firm's investments and then formulating strategies to respond to each scenario. It goes beyond traditional risk management by encouraging organizations to think critically about uncertainties and disruptions in the political landscape. Through scenario planning, a parent firm can assess the potential impact of different political events, such as changes in government policies, regulatory frameworks, or geopolitical shifts. By considering multiple future possibilities, the firm can develop flexible strategies that allow for adaptability and resilience in the face of evolving political conditions. This proactive approach helps the organization to not only anticipate risks but also seize opportunities that may arise in different political contexts, ultimately contributing to more effective decision-making and risk mitigation.</w:t>
      </w:r>
    </w:p>
    <w:p>
      <w:pPr>
        <w:pStyle w:val="Normal"/>
        <w:bidi w:val="0"/>
        <w:jc w:val="both"/>
        <w:rPr>
          <w:b w:val="false"/>
          <w:bCs w:val="false"/>
        </w:rPr>
      </w:pPr>
      <w:r>
        <w:rPr>
          <w:b w:val="false"/>
          <w:bCs w:val="false"/>
        </w:rPr>
      </w:r>
    </w:p>
    <w:p>
      <w:pPr>
        <w:pStyle w:val="Normal"/>
        <w:bidi w:val="0"/>
        <w:jc w:val="both"/>
        <w:rPr/>
      </w:pPr>
      <w:r>
        <w:rPr>
          <w:b/>
          <w:bCs/>
        </w:rPr>
        <w:t xml:space="preserve">Local Partnerships: </w:t>
      </w:r>
      <w:r>
        <w:rPr>
          <w:b w:val="false"/>
          <w:bCs w:val="false"/>
        </w:rPr>
        <w:t>Engaging in local partnerships and joint ventures is a strategic approach for a parent firm to effectively manage political risk in foreign projects. By forming collaborations with local entities, the firm can leverage their insights and understanding of the intricate political landscape, gaining valuable perspectives on potential risks and challenges. Local partners can provide essential contextual knowledge regarding political dynamics, regulatory frameworks, and cultural nuances that may impact the firm's operations. This approach enhances the parent firm's ability to navigate political uncertainties and mitigate risks more effectively. Additionally, through joint ventures, the firm shares responsibilities and liabilities, distributing the impact of political events across multiple stakeholders. This collaborative strategy not only facilitates a deeper understanding of the local environment but also fosters relationships that can prove beneficial in navigating complex political landscapes, ultimately contributing to the overall success and sustainability of the foreign projects.</w:t>
      </w:r>
    </w:p>
    <w:p>
      <w:pPr>
        <w:pStyle w:val="Normal"/>
        <w:bidi w:val="0"/>
        <w:jc w:val="both"/>
        <w:rPr/>
      </w:pPr>
      <w:r>
        <w:rPr/>
      </w:r>
    </w:p>
    <w:p>
      <w:pPr>
        <w:pStyle w:val="Normal"/>
        <w:bidi w:val="0"/>
        <w:jc w:val="both"/>
        <w:rPr/>
      </w:pPr>
      <w:r>
        <w:rPr/>
      </w:r>
    </w:p>
    <w:p>
      <w:pPr>
        <w:pStyle w:val="Normal"/>
        <w:bidi w:val="0"/>
        <w:jc w:val="both"/>
        <w:rPr/>
      </w:pPr>
      <w:r>
        <w:rPr>
          <w:b/>
          <w:bCs/>
        </w:rPr>
        <w:t xml:space="preserve">Continuous Monitoring: </w:t>
      </w:r>
      <w:r>
        <w:rPr>
          <w:b w:val="false"/>
          <w:bCs w:val="false"/>
        </w:rPr>
        <w:t>The strategy of continuous monitoring is instrumental in the ongoing management of political risks associated with foreign projects. Establishing a system for political intelligence involves consistently and systematically monitoring political developments in the host country. This entails staying informed about changes in government policies, regulatory frameworks, and other political factors that may impact the firm's investments. By regularly gathering intelligence, the parent firm can identify potential risks in a timely manner and adapt its strategies accordingly.</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In addition to political intelligence, the implementation of early warning systems is crucial for detecting and responding to emerging political risks. These systems are designed to provide timely alerts and indicators when there are signs of potential disruptions or changes in the political environment. Early detection allows the firm to proactively assess the situation, adjust its strategies, and take preventive measures to minimize the impact of political risks on its foreign projects.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Together, political intelligence and early warning systems contribute to a dynamic and responsive risk management approach, empowering the parent firm to stay ahead of political developments and make informed decisions to protect its investments and interests in foreign markets.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312</TotalTime>
  <Application>LibreOffice/7.6.4.1$Linux_X86_64 LibreOffice_project/e19e193f88cd6c0525a17fb7a176ed8e6a3e2aa1</Application>
  <AppVersion>15.0000</AppVersion>
  <Pages>11</Pages>
  <Words>2630</Words>
  <Characters>14284</Characters>
  <CharactersWithSpaces>16954</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2024-01-03T12:23:05Z</dcterms:created>
  <dc:creator/>
  <dc:description/>
  <dc:language>en-US</dc:language>
  <cp:lastModifiedBy/>
  <dcterms:modified xsi:type="dcterms:W3CDTF">2024-01-03T17:41:42Z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