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drawing>
          <wp:inline distT="0" distB="0" distL="0" distR="0">
            <wp:extent cx="1802765" cy="1701800"/>
            <wp:effectExtent l="0" t="0" r="0" b="0"/>
            <wp:docPr id="1"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title=""/>
                    <pic:cNvPicPr>
                      <a:picLocks noChangeAspect="1" noChangeArrowheads="1"/>
                    </pic:cNvPicPr>
                  </pic:nvPicPr>
                  <pic:blipFill>
                    <a:blip r:embed="rId2"/>
                    <a:stretch>
                      <a:fillRect/>
                    </a:stretch>
                  </pic:blipFill>
                  <pic:spPr bwMode="auto">
                    <a:xfrm>
                      <a:off x="0" y="0"/>
                      <a:ext cx="1802765" cy="1701800"/>
                    </a:xfrm>
                    <a:prstGeom prst="rect">
                      <a:avLst/>
                    </a:prstGeom>
                  </pic:spPr>
                </pic:pic>
              </a:graphicData>
            </a:graphic>
          </wp:inline>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5000" w:type="pct"/>
        <w:jc w:val="start"/>
        <w:tblInd w:w="-5" w:type="dxa"/>
        <w:tblLayout w:type="fixed"/>
        <w:tblCellMar>
          <w:top w:w="55" w:type="dxa"/>
          <w:start w:w="55" w:type="dxa"/>
          <w:bottom w:w="55" w:type="dxa"/>
          <w:end w:w="55" w:type="dxa"/>
        </w:tblCellMar>
      </w:tblPr>
      <w:tblGrid>
        <w:gridCol w:w="2987"/>
        <w:gridCol w:w="6984"/>
      </w:tblGrid>
      <w:tr>
        <w:trPr/>
        <w:tc>
          <w:tcPr>
            <w:tcW w:w="2987" w:type="dxa"/>
            <w:tcBorders>
              <w:top w:val="single" w:sz="4" w:space="0" w:color="000000"/>
              <w:start w:val="single" w:sz="4" w:space="0" w:color="000000"/>
              <w:bottom w:val="single" w:sz="4" w:space="0" w:color="000000"/>
            </w:tcBorders>
          </w:tcPr>
          <w:p>
            <w:pPr>
              <w:pStyle w:val="Normal"/>
              <w:widowControl w:val="false"/>
              <w:bidi w:val="0"/>
              <w:jc w:val="center"/>
              <w:rPr>
                <w:b/>
                <w:bCs/>
              </w:rPr>
            </w:pPr>
            <w:r>
              <w:rPr>
                <w:b/>
                <w:bCs/>
                <w:i w:val="false"/>
                <w:iCs w:val="false"/>
              </w:rPr>
              <w:t>Module Name:</w:t>
            </w:r>
          </w:p>
        </w:tc>
        <w:tc>
          <w:tcPr>
            <w:tcW w:w="698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AUDITING AND ASSURANCE SERVICES</w:t>
            </w:r>
          </w:p>
        </w:tc>
      </w:tr>
      <w:tr>
        <w:trPr/>
        <w:tc>
          <w:tcPr>
            <w:tcW w:w="2987" w:type="dxa"/>
            <w:tcBorders>
              <w:start w:val="single" w:sz="4" w:space="0" w:color="000000"/>
              <w:bottom w:val="single" w:sz="4" w:space="0" w:color="000000"/>
            </w:tcBorders>
          </w:tcPr>
          <w:p>
            <w:pPr>
              <w:pStyle w:val="Normal"/>
              <w:widowControl w:val="false"/>
              <w:bidi w:val="0"/>
              <w:jc w:val="center"/>
              <w:rPr>
                <w:b/>
                <w:bCs/>
              </w:rPr>
            </w:pPr>
            <w:r>
              <w:rPr>
                <w:b/>
                <w:bCs/>
                <w:i w:val="false"/>
                <w:iCs w:val="false"/>
              </w:rPr>
              <w:t>CODE Number:</w:t>
            </w:r>
          </w:p>
        </w:tc>
        <w:tc>
          <w:tcPr>
            <w:tcW w:w="6984" w:type="dxa"/>
            <w:tcBorders>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AFU08192</w:t>
            </w:r>
          </w:p>
        </w:tc>
      </w:tr>
      <w:tr>
        <w:trPr/>
        <w:tc>
          <w:tcPr>
            <w:tcW w:w="2987" w:type="dxa"/>
            <w:tcBorders>
              <w:start w:val="single" w:sz="4" w:space="0" w:color="000000"/>
              <w:bottom w:val="single" w:sz="4" w:space="0" w:color="000000"/>
            </w:tcBorders>
          </w:tcPr>
          <w:p>
            <w:pPr>
              <w:pStyle w:val="Normal"/>
              <w:widowControl w:val="false"/>
              <w:bidi w:val="0"/>
              <w:jc w:val="center"/>
              <w:rPr>
                <w:b/>
                <w:bCs/>
              </w:rPr>
            </w:pPr>
            <w:r>
              <w:rPr>
                <w:b/>
                <w:bCs/>
                <w:i w:val="false"/>
                <w:iCs w:val="false"/>
              </w:rPr>
              <w:t>Class:</w:t>
            </w:r>
          </w:p>
        </w:tc>
        <w:tc>
          <w:tcPr>
            <w:tcW w:w="6984" w:type="dxa"/>
            <w:tcBorders>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 xml:space="preserve">BAIT_3B </w:t>
            </w:r>
          </w:p>
        </w:tc>
      </w:tr>
      <w:tr>
        <w:trPr/>
        <w:tc>
          <w:tcPr>
            <w:tcW w:w="2987" w:type="dxa"/>
            <w:tcBorders>
              <w:start w:val="single" w:sz="4" w:space="0" w:color="000000"/>
              <w:bottom w:val="single" w:sz="4" w:space="0" w:color="000000"/>
            </w:tcBorders>
          </w:tcPr>
          <w:p>
            <w:pPr>
              <w:pStyle w:val="Normal"/>
              <w:widowControl w:val="false"/>
              <w:bidi w:val="0"/>
              <w:jc w:val="center"/>
              <w:rPr>
                <w:b/>
                <w:bCs/>
              </w:rPr>
            </w:pPr>
            <w:r>
              <w:rPr>
                <w:b/>
                <w:bCs/>
                <w:i w:val="false"/>
                <w:iCs w:val="false"/>
              </w:rPr>
              <w:t>Student Name</w:t>
            </w:r>
          </w:p>
        </w:tc>
        <w:tc>
          <w:tcPr>
            <w:tcW w:w="6984" w:type="dxa"/>
            <w:tcBorders>
              <w:start w:val="single" w:sz="4" w:space="0" w:color="000000"/>
              <w:bottom w:val="single" w:sz="4" w:space="0" w:color="000000"/>
              <w:end w:val="single" w:sz="4" w:space="0" w:color="000000"/>
            </w:tcBorders>
          </w:tcPr>
          <w:p>
            <w:pPr>
              <w:pStyle w:val="TableContents"/>
              <w:widowControl w:val="false"/>
              <w:bidi w:val="0"/>
              <w:jc w:val="center"/>
              <w:rPr>
                <w:b w:val="false"/>
                <w:bCs w:val="false"/>
              </w:rPr>
            </w:pPr>
            <w:r>
              <w:rPr>
                <w:b w:val="false"/>
                <w:bCs w:val="false"/>
              </w:rPr>
              <w:t>GODFREY ERNEST MAPUNDA</w:t>
            </w:r>
          </w:p>
        </w:tc>
      </w:tr>
      <w:tr>
        <w:trPr/>
        <w:tc>
          <w:tcPr>
            <w:tcW w:w="2987" w:type="dxa"/>
            <w:tcBorders>
              <w:start w:val="single" w:sz="4" w:space="0" w:color="000000"/>
              <w:bottom w:val="single" w:sz="4" w:space="0" w:color="000000"/>
            </w:tcBorders>
          </w:tcPr>
          <w:p>
            <w:pPr>
              <w:pStyle w:val="TableContents"/>
              <w:widowControl w:val="false"/>
              <w:bidi w:val="0"/>
              <w:jc w:val="center"/>
              <w:rPr>
                <w:b/>
                <w:bCs/>
              </w:rPr>
            </w:pPr>
            <w:r>
              <w:rPr>
                <w:b/>
                <w:bCs/>
              </w:rPr>
              <w:t>Registration Number</w:t>
            </w:r>
          </w:p>
        </w:tc>
        <w:tc>
          <w:tcPr>
            <w:tcW w:w="6984" w:type="dxa"/>
            <w:tcBorders>
              <w:start w:val="single" w:sz="4" w:space="0" w:color="000000"/>
              <w:bottom w:val="single" w:sz="4" w:space="0" w:color="000000"/>
              <w:end w:val="single" w:sz="4" w:space="0" w:color="000000"/>
            </w:tcBorders>
          </w:tcPr>
          <w:p>
            <w:pPr>
              <w:pStyle w:val="TableContents"/>
              <w:widowControl w:val="false"/>
              <w:bidi w:val="0"/>
              <w:jc w:val="center"/>
              <w:rPr>
                <w:b w:val="false"/>
                <w:bCs w:val="false"/>
              </w:rPr>
            </w:pPr>
            <w:r>
              <w:rPr>
                <w:b w:val="false"/>
                <w:bCs w:val="false"/>
              </w:rPr>
              <w:t>IMC/BAIT/2123823</w:t>
            </w:r>
          </w:p>
        </w:tc>
      </w:tr>
    </w:tbl>
    <w:p>
      <w:pPr>
        <w:pStyle w:val="Normal"/>
        <w:bidi w:val="0"/>
        <w:jc w:val="star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b/>
          <w:bCs/>
        </w:rPr>
      </w:pPr>
      <w:r>
        <w:rPr>
          <w:b/>
          <w:bCs/>
        </w:rPr>
        <w:t xml:space="preserve">INDIVIDUAL ASSIGNMENT </w:t>
      </w:r>
    </w:p>
    <w:p>
      <w:pPr>
        <w:pStyle w:val="Normal"/>
        <w:bidi w:val="0"/>
        <w:jc w:val="start"/>
        <w:rPr>
          <w:b/>
          <w:bCs/>
        </w:rPr>
      </w:pPr>
      <w:r>
        <w:rPr/>
      </w:r>
    </w:p>
    <w:p>
      <w:pPr>
        <w:pStyle w:val="Normal"/>
        <w:bidi w:val="0"/>
        <w:jc w:val="start"/>
        <w:rPr>
          <w:b/>
          <w:bCs/>
        </w:rPr>
      </w:pPr>
      <w:r>
        <w:rPr>
          <w:b w:val="false"/>
          <w:bCs w:val="false"/>
        </w:rPr>
        <w:t xml:space="preserve">To provide examples for </w:t>
      </w:r>
      <w:r>
        <w:rPr>
          <w:rStyle w:val="Strong"/>
          <w:b w:val="false"/>
          <w:bCs w:val="false"/>
        </w:rPr>
        <w:t>Pressure/Nee</w:t>
      </w:r>
      <w:r>
        <w:rPr>
          <w:rStyle w:val="Strong"/>
          <w:b w:val="false"/>
          <w:bCs w:val="false"/>
        </w:rPr>
        <w:t>d</w:t>
      </w:r>
      <w:r>
        <w:rPr>
          <w:rStyle w:val="Strong"/>
          <w:b w:val="false"/>
          <w:bCs w:val="false"/>
        </w:rPr>
        <w:t xml:space="preserve">, </w:t>
      </w:r>
      <w:r>
        <w:rPr>
          <w:rStyle w:val="Strong"/>
          <w:b w:val="false"/>
          <w:bCs w:val="false"/>
        </w:rPr>
        <w:t>Opportunity  and Rationalization in FRAUD TRIANGLE</w:t>
      </w:r>
    </w:p>
    <w:p>
      <w:pPr>
        <w:pStyle w:val="Normal"/>
        <w:bidi w:val="0"/>
        <w:jc w:val="start"/>
        <w:rPr>
          <w:b/>
          <w:bCs/>
        </w:rPr>
      </w:pPr>
      <w:r>
        <w:rPr>
          <w:b w:val="false"/>
          <w:bCs w:val="false"/>
        </w:rPr>
        <w:t>,</w:t>
      </w:r>
    </w:p>
    <w:p>
      <w:pPr>
        <w:pStyle w:val="Normal"/>
        <w:bidi w:val="0"/>
        <w:jc w:val="center"/>
        <w:rPr>
          <w:b/>
          <w:bCs/>
        </w:rPr>
      </w:pPr>
      <w:r>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t>Pressure/Need:</w:t>
      </w:r>
    </w:p>
    <w:p>
      <w:pPr>
        <w:pStyle w:val="Normal"/>
        <w:bidi w:val="0"/>
        <w:jc w:val="both"/>
        <w:rPr>
          <w:rFonts w:ascii="Liberation Serif" w:hAnsi="Liberation Serif"/>
        </w:rPr>
      </w:pPr>
      <w:r>
        <w:rPr>
          <w:rFonts w:ascii="Liberation Serif" w:hAnsi="Liberation Serif"/>
          <w:b/>
          <w:bCs/>
        </w:rPr>
        <w:t>Financial Pressure:</w:t>
      </w:r>
      <w:r>
        <w:rPr>
          <w:rFonts w:ascii="Liberation Serif" w:hAnsi="Liberation Serif"/>
        </w:rPr>
        <w:t xml:space="preserve"> This aspect of the Fraud Triangle encompasses situations where an individual faces significant financial challenges such as mounting debts or medical expenses. The strain of financial difficulties may push an employee towards fraudulent actions as a perceived solution to alleviate their economic burdens. Additionally, individuals with aspirations for a higher </w:t>
      </w:r>
      <w:r>
        <w:rPr>
          <w:rFonts w:ascii="Liberation Serif" w:hAnsi="Liberation Serif"/>
          <w:b/>
          <w:bCs/>
        </w:rPr>
        <w:t>standard of living</w:t>
      </w:r>
      <w:r>
        <w:rPr>
          <w:rFonts w:ascii="Liberation Serif" w:hAnsi="Liberation Serif"/>
        </w:rPr>
        <w:t xml:space="preserve"> beyond their current means may also feel the pressure to commit fraud to fulfill these lifestyle desires. In some cases, employees struggling with </w:t>
      </w:r>
      <w:r>
        <w:rPr>
          <w:rFonts w:ascii="Liberation Serif" w:hAnsi="Liberation Serif"/>
          <w:b/>
          <w:bCs/>
        </w:rPr>
        <w:t>addiction or gambling problems</w:t>
      </w:r>
      <w:r>
        <w:rPr>
          <w:rFonts w:ascii="Liberation Serif" w:hAnsi="Liberation Serif"/>
        </w:rPr>
        <w:t xml:space="preserve"> might resort to fraudulent activities as a means to fund their habits, further intensifying the financial pressure they experience.</w:t>
      </w:r>
    </w:p>
    <w:p>
      <w:pPr>
        <w:pStyle w:val="Normal"/>
        <w:bidi w:val="0"/>
        <w:jc w:val="both"/>
        <w:rPr>
          <w:rFonts w:ascii="Liberation Serif" w:hAnsi="Liberation Serif"/>
        </w:rPr>
      </w:pPr>
      <w:r>
        <w:rPr>
          <w:rFonts w:ascii="Liberation Serif" w:hAnsi="Liberation Serif"/>
        </w:rPr>
      </w:r>
    </w:p>
    <w:p>
      <w:pPr>
        <w:pStyle w:val="Normal"/>
        <w:bidi w:val="0"/>
        <w:jc w:val="both"/>
        <w:rPr>
          <w:rFonts w:ascii="Liberation Serif" w:hAnsi="Liberation Serif"/>
          <w:b/>
          <w:bCs/>
        </w:rPr>
      </w:pPr>
      <w:r>
        <w:rPr>
          <w:rFonts w:ascii="Liberation Serif" w:hAnsi="Liberation Serif"/>
          <w:b/>
          <w:bCs/>
        </w:rPr>
        <w:t>Opportunity:</w:t>
      </w:r>
    </w:p>
    <w:p>
      <w:pPr>
        <w:pStyle w:val="Normal"/>
        <w:bidi w:val="0"/>
        <w:jc w:val="both"/>
        <w:rPr>
          <w:rFonts w:ascii="Liberation Serif" w:hAnsi="Liberation Serif"/>
        </w:rPr>
      </w:pPr>
      <w:r>
        <w:rPr>
          <w:rFonts w:ascii="Liberation Serif" w:hAnsi="Liberation Serif"/>
          <w:b/>
          <w:bCs/>
        </w:rPr>
        <w:t xml:space="preserve">Weak Internal Controls: </w:t>
      </w:r>
      <w:r>
        <w:rPr>
          <w:rFonts w:ascii="Liberation Serif" w:hAnsi="Liberation Serif"/>
        </w:rPr>
        <w:t xml:space="preserve">When an organization has inadequate segregation of duties, it creates an opportunity for employees to manipulate financial records without detection. This weakness in internal controls allows individuals to exploit their positions and engage in fraudulent activities. Similarly, a lack of oversight, whether due to insufficient supervision or monitoring of employees' activities, provides an opportunity for fraudulent behavior to go unnoticed. </w:t>
      </w:r>
      <w:r>
        <w:rPr>
          <w:rFonts w:ascii="Liberation Serif" w:hAnsi="Liberation Serif"/>
          <w:b/>
          <w:bCs/>
        </w:rPr>
        <w:t>Unmonitored access to sensitive financial information</w:t>
      </w:r>
      <w:r>
        <w:rPr>
          <w:rFonts w:ascii="Liberation Serif" w:hAnsi="Liberation Serif"/>
        </w:rPr>
        <w:t xml:space="preserve"> also contributes to the opportunity for employees to misuse their positions for fraudulent activities.</w:t>
      </w:r>
    </w:p>
    <w:p>
      <w:pPr>
        <w:pStyle w:val="Normal"/>
        <w:bidi w:val="0"/>
        <w:jc w:val="both"/>
        <w:rPr>
          <w:rFonts w:ascii="Liberation Serif" w:hAnsi="Liberation Serif"/>
          <w:b/>
          <w:bCs/>
        </w:rPr>
      </w:pPr>
      <w:r>
        <w:rPr>
          <w:rFonts w:ascii="Liberation Serif" w:hAnsi="Liberation Serif"/>
          <w:b/>
          <w:bCs/>
        </w:rPr>
      </w:r>
    </w:p>
    <w:p>
      <w:pPr>
        <w:pStyle w:val="Normal"/>
        <w:bidi w:val="0"/>
        <w:jc w:val="both"/>
        <w:rPr>
          <w:rFonts w:ascii="Liberation Serif" w:hAnsi="Liberation Serif"/>
          <w:b/>
          <w:bCs/>
        </w:rPr>
      </w:pPr>
      <w:r>
        <w:rPr>
          <w:rFonts w:ascii="Liberation Serif" w:hAnsi="Liberation Serif"/>
          <w:b/>
          <w:bCs/>
        </w:rPr>
        <w:t>Rationalization:</w:t>
      </w:r>
    </w:p>
    <w:p>
      <w:pPr>
        <w:pStyle w:val="Normal"/>
        <w:bidi w:val="0"/>
        <w:jc w:val="both"/>
        <w:rPr>
          <w:rFonts w:ascii="Liberation Serif" w:hAnsi="Liberation Serif"/>
        </w:rPr>
      </w:pPr>
      <w:r>
        <w:rPr>
          <w:rFonts w:ascii="Liberation Serif" w:hAnsi="Liberation Serif"/>
          <w:b/>
          <w:bCs/>
        </w:rPr>
        <w:t>Temporary Loan:</w:t>
      </w:r>
      <w:r>
        <w:rPr>
          <w:rFonts w:ascii="Liberation Serif" w:hAnsi="Liberation Serif"/>
        </w:rPr>
        <w:t xml:space="preserve"> Rationalization involves individuals convincing themselves that their fraudulent actions are justified or acceptable. For instance, someone might perceive their illicit actions as a temporary loan, intending to repay the misappropriated funds when their financial situation improves. Another form of rationalization occurs when an individual believes they are experiencing perceived injustice, feeling justified in committing fraud as a way to correct what they perceive as unfair compensation. Additionally, the rationalization that the company owes them something may lead an employee to engage in fraudulent activities if they believe they have been mistreated or inadequately compensated.</w:t>
      </w:r>
    </w:p>
    <w:p>
      <w:pPr>
        <w:pStyle w:val="Normal"/>
        <w:bidi w:val="0"/>
        <w:jc w:val="both"/>
        <w:rPr>
          <w:rFonts w:ascii="Liberation Serif" w:hAnsi="Liberation Serif"/>
        </w:rPr>
      </w:pPr>
      <w:r>
        <w:rPr>
          <w:rFonts w:ascii="Liberation Serif" w:hAnsi="Liberation Serif"/>
        </w:rPr>
      </w:r>
    </w:p>
    <w:p>
      <w:pPr>
        <w:pStyle w:val="Normal"/>
        <w:bidi w:val="0"/>
        <w:jc w:val="both"/>
        <w:rPr>
          <w:rFonts w:ascii="Liberation Serif" w:hAnsi="Liberation Serif"/>
        </w:rPr>
      </w:pPr>
      <w:r>
        <w:rPr>
          <w:rFonts w:ascii="Liberation Serif" w:hAnsi="Liberation Serif"/>
        </w:rPr>
        <w:t>Understanding these elements of the Fraud Triangle is crucial for auditors and organizations to identify and address potential risks, implementing measures to strengthen internal controls, reduce opportunities for fraud, and foster an ethical organizational culture.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LibreOffice/7.6.4.1$Linux_X86_64 LibreOffice_project/e19e193f88cd6c0525a17fb7a176ed8e6a3e2aa1</Application>
  <AppVersion>15.0000</AppVersion>
  <Pages>2</Pages>
  <Words>356</Words>
  <Characters>2306</Characters>
  <CharactersWithSpaces>2644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2024-01-16T11:08:55Z</dcterms:created>
  <dc:creator/>
  <dc:description/>
  <dc:language>en-US</dc:language>
  <cp:lastModifiedBy/>
  <dcterms:modified xsi:type="dcterms:W3CDTF">2024-01-16T11:23:32Z</dcterms:modified>
  <cp:revision>1</cp:revision>
  <dc:subject/>
  <dc:title/>
</cp:coreProperties>
</file>