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b/>
          <w:color w:val="1E3A8A"/>
          <w:sz w:val="48"/>
        </w:rPr>
        <w:t>Customer Churn &amp; Revenue Intelligence Platform</w:t>
      </w:r>
    </w:p>
    <w:p>
      <w:pPr>
        <w:spacing w:after="560"/>
        <w:jc w:val="center"/>
      </w:pPr>
      <w:r>
        <w:rPr>
          <w:i/>
          <w:color w:val="4B5563"/>
          <w:sz w:val="28"/>
        </w:rPr>
        <w:t>AI-Powered Executive Decision Dashboard &amp; Prescriptive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F4F6"/>
          </w:tcPr>
          <w:p>
            <w:r>
              <w:rPr>
                <w:b/>
              </w:rPr>
              <w:t>Student / Submitter:</w:t>
            </w:r>
          </w:p>
        </w:tc>
        <w:tc>
          <w:tcPr>
            <w:tcW w:type="dxa" w:w="4680"/>
            <w:shd w:fill="FFFFFF"/>
          </w:tcPr>
          <w:p>
            <w:r>
              <w:t>Heramb Krishna Arora</w:t>
            </w:r>
          </w:p>
        </w:tc>
      </w:tr>
      <w:tr>
        <w:tc>
          <w:tcPr>
            <w:tcW w:type="dxa" w:w="4680"/>
            <w:shd w:fill="F3F4F6"/>
          </w:tcPr>
          <w:p>
            <w:r>
              <w:rPr>
                <w:b/>
              </w:rPr>
              <w:t>Program:</w:t>
            </w:r>
          </w:p>
        </w:tc>
        <w:tc>
          <w:tcPr>
            <w:tcW w:type="dxa" w:w="4680"/>
            <w:shd w:fill="FFFFFF"/>
          </w:tcPr>
          <w:p>
            <w:r>
              <w:t>AICTE | IBM SkillsBuild Data Analytics with AI Internship</w:t>
            </w:r>
          </w:p>
        </w:tc>
      </w:tr>
      <w:tr>
        <w:tc>
          <w:tcPr>
            <w:tcW w:type="dxa" w:w="4680"/>
            <w:shd w:fill="F3F4F6"/>
          </w:tcPr>
          <w:p>
            <w:r>
              <w:rPr>
                <w:b/>
              </w:rPr>
              <w:t>Industry Partner:</w:t>
            </w:r>
          </w:p>
        </w:tc>
        <w:tc>
          <w:tcPr>
            <w:tcW w:type="dxa" w:w="4680"/>
            <w:shd w:fill="FFFFFF"/>
          </w:tcPr>
          <w:p>
            <w:r>
              <w:t>BharatCares &amp; IBM SkillsBuild</w:t>
            </w:r>
          </w:p>
        </w:tc>
      </w:tr>
      <w:tr>
        <w:tc>
          <w:tcPr>
            <w:tcW w:type="dxa" w:w="4680"/>
            <w:shd w:fill="F3F4F6"/>
          </w:tcPr>
          <w:p>
            <w:r>
              <w:rPr>
                <w:b/>
              </w:rPr>
              <w:t>Project Domain:</w:t>
            </w:r>
          </w:p>
        </w:tc>
        <w:tc>
          <w:tcPr>
            <w:tcW w:type="dxa" w:w="4680"/>
            <w:shd w:fill="FFFFFF"/>
          </w:tcPr>
          <w:p>
            <w:r>
              <w:t>Business Intelligence &amp; Machine Learning (Stages 6–7)</w:t>
            </w:r>
          </w:p>
        </w:tc>
      </w:tr>
      <w:tr>
        <w:tc>
          <w:tcPr>
            <w:tcW w:type="dxa" w:w="4680"/>
            <w:shd w:fill="F3F4F6"/>
          </w:tcPr>
          <w:p>
            <w:r>
              <w:rPr>
                <w:b/>
              </w:rPr>
              <w:t>Dataset:</w:t>
            </w:r>
          </w:p>
        </w:tc>
        <w:tc>
          <w:tcPr>
            <w:tcW w:type="dxa" w:w="4680"/>
            <w:shd w:fill="FFFFFF"/>
          </w:tcPr>
          <w:p>
            <w:r>
              <w:t>Customer Subscription &amp; Churn Analytics (3,000 Records)</w:t>
            </w:r>
          </w:p>
        </w:tc>
      </w:tr>
      <w:tr>
        <w:tc>
          <w:tcPr>
            <w:tcW w:type="dxa" w:w="4680"/>
            <w:shd w:fill="F3F4F6"/>
          </w:tcPr>
          <w:p>
            <w:r>
              <w:rPr>
                <w:b/>
              </w:rPr>
              <w:t>Delivery Format:</w:t>
            </w:r>
          </w:p>
        </w:tc>
        <w:tc>
          <w:tcPr>
            <w:tcW w:type="dxa" w:w="4680"/>
            <w:shd w:fill="FFFFFF"/>
          </w:tcPr>
          <w:p>
            <w:r>
              <w:t>REST API Backend + Interactive Executive Dashboard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1. Executive Summary &amp; Problem Statement</w:t>
      </w:r>
    </w:p>
    <w:p>
      <w:r>
        <w:t>In modern subscription-based business models (SaaS, Telecom, and E-Commerce), retaining existing customers is significantly more cost-effective than acquiring new ones. Customer attrition ('churn') not only diminishes Monthly Recurring Revenue (MRR) but also impacts long-term customer lifetime value (CLV).</w:t>
      </w:r>
    </w:p>
    <w:p>
      <w:r>
        <w:t>This project establishes an end-to-end Executive Decision Intelligence System that transitions raw transactional data into verifiable business actions. Built according to the 5-Stage Business Intelligence framework, the solution combines machine learning risk scoring with a real-time decision dashboard and what-if financial simulators.</w:t>
      </w:r>
    </w:p>
    <w:p>
      <w:pPr>
        <w:pStyle w:val="Heading1"/>
      </w:pPr>
      <w:r>
        <w:rPr>
          <w:color w:val="1E3A8A"/>
        </w:rPr>
        <w:t>2. The 5-Stage Executive Dashboard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Hierarchy Level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Platform Implementation</w:t>
            </w:r>
          </w:p>
        </w:tc>
      </w:tr>
      <w:tr>
        <w:tc>
          <w:tcPr>
            <w:tcW w:type="dxa" w:w="3120"/>
            <w:shd w:fill="F9FAFB"/>
          </w:tcPr>
          <w:p>
            <w:r>
              <w:t>Level 1 – KPIs</w:t>
            </w:r>
          </w:p>
        </w:tc>
        <w:tc>
          <w:tcPr>
            <w:tcW w:type="dxa" w:w="3120"/>
            <w:shd w:fill="F9FAFB"/>
          </w:tcPr>
          <w:p>
            <w:r>
              <w:t>What is happening in the business?</w:t>
            </w:r>
          </w:p>
        </w:tc>
        <w:tc>
          <w:tcPr>
            <w:tcW w:type="dxa" w:w="3120"/>
            <w:shd w:fill="F9FAFB"/>
          </w:tcPr>
          <w:p>
            <w:r>
              <w:t>Top-line cards: Total Revenue ($5.6M), Churn Rate (47.1%), Annual Revenue at Risk ($1.4M), Projected Recovery ($490K).</w:t>
            </w:r>
          </w:p>
        </w:tc>
      </w:tr>
      <w:tr>
        <w:tc>
          <w:tcPr>
            <w:tcW w:type="dxa" w:w="3120"/>
          </w:tcPr>
          <w:p>
            <w:r>
              <w:t>Level 2 – Trends</w:t>
            </w:r>
          </w:p>
        </w:tc>
        <w:tc>
          <w:tcPr>
            <w:tcW w:type="dxa" w:w="3120"/>
          </w:tcPr>
          <w:p>
            <w:r>
              <w:t>How is performance changing over time?</w:t>
            </w:r>
          </w:p>
        </w:tc>
        <w:tc>
          <w:tcPr>
            <w:tcW w:type="dxa" w:w="3120"/>
          </w:tcPr>
          <w:p>
            <w:r>
              <w:t>Tenure cohort analysis demonstrating high initial vulnerability (months 0-12) transitioning into stable maturity.</w:t>
            </w:r>
          </w:p>
        </w:tc>
      </w:tr>
      <w:tr>
        <w:tc>
          <w:tcPr>
            <w:tcW w:type="dxa" w:w="3120"/>
            <w:shd w:fill="F9FAFB"/>
          </w:tcPr>
          <w:p>
            <w:r>
              <w:t>Level 3 – Drivers</w:t>
            </w:r>
          </w:p>
        </w:tc>
        <w:tc>
          <w:tcPr>
            <w:tcW w:type="dxa" w:w="3120"/>
            <w:shd w:fill="F9FAFB"/>
          </w:tcPr>
          <w:p>
            <w:r>
              <w:t>Why are customers churning?</w:t>
            </w:r>
          </w:p>
        </w:tc>
        <w:tc>
          <w:tcPr>
            <w:tcW w:type="dxa" w:w="3120"/>
            <w:shd w:fill="F9FAFB"/>
          </w:tcPr>
          <w:p>
            <w:r>
              <w:t>Root cause attribution isolating Month-to-Month contracts, Electronic Check friction, and Fiber optic accounts lacking support.</w:t>
            </w:r>
          </w:p>
        </w:tc>
      </w:tr>
      <w:tr>
        <w:tc>
          <w:tcPr>
            <w:tcW w:type="dxa" w:w="3120"/>
          </w:tcPr>
          <w:p>
            <w:r>
              <w:t>Level 4 – Risk</w:t>
            </w:r>
          </w:p>
        </w:tc>
        <w:tc>
          <w:tcPr>
            <w:tcW w:type="dxa" w:w="3120"/>
          </w:tcPr>
          <w:p>
            <w:r>
              <w:t>What could go wrong if no action is taken?</w:t>
            </w:r>
          </w:p>
        </w:tc>
        <w:tc>
          <w:tcPr>
            <w:tcW w:type="dxa" w:w="3120"/>
          </w:tcPr>
          <w:p>
            <w:r>
              <w:t>Real-time risk scoring identifying high-value accounts with &gt;=3 support tickets for immediate intervention.</w:t>
            </w:r>
          </w:p>
        </w:tc>
      </w:tr>
      <w:tr>
        <w:tc>
          <w:tcPr>
            <w:tcW w:type="dxa" w:w="3120"/>
            <w:shd w:fill="F9FAFB"/>
          </w:tcPr>
          <w:p>
            <w:r>
              <w:t>Level 5 – Action</w:t>
            </w:r>
          </w:p>
        </w:tc>
        <w:tc>
          <w:tcPr>
            <w:tcW w:type="dxa" w:w="3120"/>
            <w:shd w:fill="F9FAFB"/>
          </w:tcPr>
          <w:p>
            <w:r>
              <w:t>What specific decisions should leaders make?</w:t>
            </w:r>
          </w:p>
        </w:tc>
        <w:tc>
          <w:tcPr>
            <w:tcW w:type="dxa" w:w="3120"/>
            <w:shd w:fill="F9FAFB"/>
          </w:tcPr>
          <w:p>
            <w:r>
              <w:t>Prescriptive retention bundles, automated 1-year contract upgrades, and what-if simulation ROI calculations.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3. Dataset Architecture &amp; Engineering</w:t>
      </w:r>
    </w:p>
    <w:p>
      <w:r>
        <w:t>The project utilizes an enterprise-grade customer intelligence dataset comprising 3,000 subscriber records across 23 distinct attributes. The dataset tracks customer demographics, subscribed service tiers, billing arrangements, support ticket frequency, and churn outcomes.</w:t>
      </w:r>
    </w:p>
    <w:p>
      <w:pPr>
        <w:pStyle w:val="Heading1"/>
      </w:pPr>
      <w:r>
        <w:rPr>
          <w:color w:val="1E3A8A"/>
        </w:rPr>
        <w:t>4. Machine Learning Modeling &amp; Diagnostic Benchmarks</w:t>
      </w:r>
    </w:p>
    <w:p>
      <w:r>
        <w:t>Three distinct supervised classification algorithms were trained and benchmarked using an 80/20 stratified train-test split: Logistic Regression (as an interpretable linear baseline), Random Forest Classifier, and Gradient Boosting Classifier.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563EB"/>
          </w:tcPr>
          <w:p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1560"/>
            <w:shd w:fill="2563EB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560"/>
            <w:shd w:fill="2563EB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560"/>
            <w:shd w:fill="2563EB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560"/>
            <w:shd w:fill="2563EB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560"/>
            <w:shd w:fill="2563EB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1560"/>
            <w:shd w:fill="F9FAFB"/>
          </w:tcPr>
          <w:p>
            <w:r>
              <w:rPr>
                <w:b/>
              </w:rPr>
              <w:t>Logistic Regression</w:t>
            </w:r>
          </w:p>
        </w:tc>
        <w:tc>
          <w:tcPr>
            <w:tcW w:type="dxa" w:w="1560"/>
            <w:shd w:fill="F9FAFB"/>
          </w:tcPr>
          <w:p>
            <w:r>
              <w:t>78.50%</w:t>
            </w:r>
          </w:p>
        </w:tc>
        <w:tc>
          <w:tcPr>
            <w:tcW w:type="dxa" w:w="1560"/>
            <w:shd w:fill="F9FAFB"/>
          </w:tcPr>
          <w:p>
            <w:r>
              <w:t>76.74%</w:t>
            </w:r>
          </w:p>
        </w:tc>
        <w:tc>
          <w:tcPr>
            <w:tcW w:type="dxa" w:w="1560"/>
            <w:shd w:fill="F9FAFB"/>
          </w:tcPr>
          <w:p>
            <w:r>
              <w:t>78.09%</w:t>
            </w:r>
          </w:p>
        </w:tc>
        <w:tc>
          <w:tcPr>
            <w:tcW w:type="dxa" w:w="1560"/>
            <w:shd w:fill="F9FAFB"/>
          </w:tcPr>
          <w:p>
            <w:r>
              <w:t>77.41%</w:t>
            </w:r>
          </w:p>
        </w:tc>
        <w:tc>
          <w:tcPr>
            <w:tcW w:type="dxa" w:w="1560"/>
            <w:shd w:fill="F9FAFB"/>
          </w:tcPr>
          <w:p>
            <w:r>
              <w:t>0.8572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Random Forest</w:t>
            </w:r>
          </w:p>
        </w:tc>
        <w:tc>
          <w:tcPr>
            <w:tcW w:type="dxa" w:w="1560"/>
          </w:tcPr>
          <w:p>
            <w:r>
              <w:t>73.67%</w:t>
            </w:r>
          </w:p>
        </w:tc>
        <w:tc>
          <w:tcPr>
            <w:tcW w:type="dxa" w:w="1560"/>
          </w:tcPr>
          <w:p>
            <w:r>
              <w:t>71.63%</w:t>
            </w:r>
          </w:p>
        </w:tc>
        <w:tc>
          <w:tcPr>
            <w:tcW w:type="dxa" w:w="1560"/>
          </w:tcPr>
          <w:p>
            <w:r>
              <w:t>73.14%</w:t>
            </w:r>
          </w:p>
        </w:tc>
        <w:tc>
          <w:tcPr>
            <w:tcW w:type="dxa" w:w="1560"/>
          </w:tcPr>
          <w:p>
            <w:r>
              <w:t>72.38%</w:t>
            </w:r>
          </w:p>
        </w:tc>
        <w:tc>
          <w:tcPr>
            <w:tcW w:type="dxa" w:w="1560"/>
          </w:tcPr>
          <w:p>
            <w:r>
              <w:t>0.8191</w:t>
            </w:r>
          </w:p>
        </w:tc>
      </w:tr>
      <w:tr>
        <w:tc>
          <w:tcPr>
            <w:tcW w:type="dxa" w:w="1560"/>
            <w:shd w:fill="F9FAFB"/>
          </w:tcPr>
          <w:p>
            <w:r>
              <w:rPr>
                <w:b/>
              </w:rPr>
              <w:t>Gradient Boosting</w:t>
            </w:r>
          </w:p>
        </w:tc>
        <w:tc>
          <w:tcPr>
            <w:tcW w:type="dxa" w:w="1560"/>
            <w:shd w:fill="F9FAFB"/>
          </w:tcPr>
          <w:p>
            <w:r>
              <w:t>75.33%</w:t>
            </w:r>
          </w:p>
        </w:tc>
        <w:tc>
          <w:tcPr>
            <w:tcW w:type="dxa" w:w="1560"/>
            <w:shd w:fill="F9FAFB"/>
          </w:tcPr>
          <w:p>
            <w:r>
              <w:t>73.20%</w:t>
            </w:r>
          </w:p>
        </w:tc>
        <w:tc>
          <w:tcPr>
            <w:tcW w:type="dxa" w:w="1560"/>
            <w:shd w:fill="F9FAFB"/>
          </w:tcPr>
          <w:p>
            <w:r>
              <w:t>75.27%</w:t>
            </w:r>
          </w:p>
        </w:tc>
        <w:tc>
          <w:tcPr>
            <w:tcW w:type="dxa" w:w="1560"/>
            <w:shd w:fill="F9FAFB"/>
          </w:tcPr>
          <w:p>
            <w:r>
              <w:t>74.22%</w:t>
            </w:r>
          </w:p>
        </w:tc>
        <w:tc>
          <w:tcPr>
            <w:tcW w:type="dxa" w:w="1560"/>
            <w:shd w:fill="F9FAFB"/>
          </w:tcPr>
          <w:p>
            <w:r>
              <w:t>0.8399</w:t>
            </w:r>
          </w:p>
        </w:tc>
      </w:tr>
    </w:tbl>
    <w:p>
      <w:pPr>
        <w:spacing w:after="240"/>
      </w:pPr>
    </w:p>
    <w:p>
      <w:pPr>
        <w:pStyle w:val="Caption"/>
      </w:pPr>
      <w:r>
        <w:t>Figure 1: Confusion Matrix Diagnostic Benchmark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Multi-Model ROC Curves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96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Top Risk Drivers &amp; Feature Importances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8A"/>
        </w:rPr>
        <w:t>5. AI Executive Analyst Briefing: Fact to Action</w:t>
      </w:r>
    </w:p>
    <w:p>
      <w:pPr>
        <w:pStyle w:val="Heading2"/>
      </w:pPr>
      <w:r>
        <w:t>5 Key Empirical Findings</w:t>
      </w:r>
    </w:p>
    <w:p>
      <w:pPr>
        <w:pStyle w:val="ListBullet"/>
      </w:pPr>
      <w:r>
        <w:t>Month-to-month contracts are the #1 churn driver, exhibiting nearly 4x higher churn rate than multi-year commitments.</w:t>
      </w:r>
    </w:p>
    <w:p>
      <w:pPr>
        <w:pStyle w:val="ListBullet"/>
      </w:pPr>
      <w:r>
        <w:t>High Monthly Charges combined with lack of Tech Support creates extreme vulnerability in Fiber Optic accounts.</w:t>
      </w:r>
    </w:p>
    <w:p>
      <w:pPr>
        <w:pStyle w:val="ListBullet"/>
      </w:pPr>
      <w:r>
        <w:t>Subscribers experiencing 3+ support tickets churn at over 74%, indicating critical post-sales onboarding friction.</w:t>
      </w:r>
    </w:p>
    <w:p>
      <w:pPr>
        <w:pStyle w:val="ListBullet"/>
      </w:pPr>
      <w:r>
        <w:t>West Region accounts for $840K in annual revenue at risk due to competitive fiber pressures.</w:t>
      </w:r>
    </w:p>
    <w:p>
      <w:pPr>
        <w:pStyle w:val="ListBullet"/>
      </w:pPr>
      <w:r>
        <w:t>Automated payment methods (ACH/Credit Card) demonstrate 52% higher retention than electronic check users.</w:t>
      </w:r>
    </w:p>
    <w:p>
      <w:pPr>
        <w:pStyle w:val="Heading2"/>
      </w:pPr>
      <w:r>
        <w:t>3 Critical Business Risks</w:t>
      </w:r>
    </w:p>
    <w:p>
      <w:pPr>
        <w:pStyle w:val="ListBullet"/>
      </w:pPr>
      <w:r>
        <w:t>Unmitigated Month-to-Month accounts threaten ongoing quarterly revenue stability.</w:t>
      </w:r>
    </w:p>
    <w:p>
      <w:pPr>
        <w:pStyle w:val="ListBullet"/>
      </w:pPr>
      <w:r>
        <w:t>Support ticket backlog directly accelerates voluntary cancellation within 45 days.</w:t>
      </w:r>
    </w:p>
    <w:p>
      <w:pPr>
        <w:pStyle w:val="ListBullet"/>
      </w:pPr>
      <w:r>
        <w:t>Payment friction in manual electronic check billing leads to passive and active subscriber loss.</w:t>
      </w:r>
    </w:p>
    <w:p>
      <w:pPr>
        <w:pStyle w:val="Heading2"/>
      </w:pPr>
      <w:r>
        <w:t>5 Recommended Strategic Actions</w:t>
      </w:r>
    </w:p>
    <w:p>
      <w:pPr>
        <w:pStyle w:val="ListNumber"/>
      </w:pPr>
      <w:r>
        <w:t>Contract Conversion Campaign: Launch an automated 1-Year upgrade offer featuring a 10% loyalty discount for accounts with tenure &gt; 6 months.</w:t>
      </w:r>
    </w:p>
    <w:p>
      <w:pPr>
        <w:pStyle w:val="ListNumber"/>
      </w:pPr>
      <w:r>
        <w:t>Tech Support Bundling: Provide 6 months of complimentary 24/7 dedicated support to high-speed Fiber Optic accounts.</w:t>
      </w:r>
    </w:p>
    <w:p>
      <w:pPr>
        <w:pStyle w:val="ListNumber"/>
      </w:pPr>
      <w:r>
        <w:t>Frictionless Auto-Pay Enrollment: Provide a one-time $15 bill credit upon migrating from manual electronic check to automated credit card / bank draft.</w:t>
      </w:r>
    </w:p>
    <w:p>
      <w:pPr>
        <w:pStyle w:val="ListNumber"/>
      </w:pPr>
      <w:r>
        <w:t>Proactive Support Escalation: Implement automated CRM alerting when a customer registers &gt;=2 support tickets within 30 days.</w:t>
      </w:r>
    </w:p>
    <w:p>
      <w:pPr>
        <w:pStyle w:val="ListNumber"/>
      </w:pPr>
      <w:r>
        <w:t>Regional Retention Budget Allocation: Reallocate 20% of acquisition marketing budget in the West region toward customer success and retention incentives.</w:t>
      </w:r>
    </w:p>
    <w:p>
      <w:pPr>
        <w:pStyle w:val="Heading1"/>
      </w:pPr>
      <w:r>
        <w:rPr>
          <w:color w:val="1E3A8A"/>
        </w:rPr>
        <w:t>6. Conclusion &amp; Deployment</w:t>
      </w:r>
    </w:p>
    <w:p>
      <w:r>
        <w:t>The Customer Churn &amp; Revenue Intelligence Platform successfully unites descriptive, diagnostic, predictive, and prescriptive analytics into a single seamless executive solution. By applying machine learning models with an interactive decision dashboard, leaders can actively defend revenue, anticipate customer departures, and execute data-backed strategic interventions.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