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针对上述问题，本设计围绕</w:t>
      </w:r>
      <w:r>
        <w:t xml:space="preserve"> EISCore </w:t>
      </w:r>
      <w:r>
        <w:rPr>
          <w:rFonts w:hint="eastAsia"/>
        </w:rPr>
        <w:t xml:space="preserve">企业信息化系统核心平台展开设计与实现。系统以数据库中心架构为基本思路，以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设计在系统建设过程中进一步引入轻量本体语义增强机制，将表级语义、列级语义、表间关系与流程状态纳入统一描述框架，使系统在动态应用配置、流程协同和语义治理方面具有更好的可扩展性。整体来看，本设计不仅关注企业信息系统“能否实现”，也关注系统在业务表达、结构扩展和后续智能化演进方面的可持续性。</w:t>
      </w:r>
    </w:p>
    <w:p>
      <w:pPr>
        <w:pStyle w:val="BodyText"/>
      </w:pPr>
      <w:r>
        <w:rPr>
          <w:rFonts w:hint="eastAsia"/>
        </w:rPr>
        <w:t xml:space="preserve">本设计围绕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总体架构、模块划分和关键设计思路；第五章重点描述数据库结构设计、核心数据模型以及本体语义增强机制设计；第六章对人事管理、物料管理、流程协同和动态应用配置等核心模块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design develops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the design is concerned not only with whether the system can be implemented, but also with whether it can remain sustainable in business expression, structural extension and further intelligent evolution.</w:t>
      </w:r>
    </w:p>
    <w:p>
      <w:pPr>
        <w:pStyle w:val="BodyText"/>
      </w:pPr>
      <w:r>
        <w:t xml:space="preserve">The design is organized as follows. Chapter 1 introduces the research background, research significance, related studies at home and abroad, and the main contents of the design.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20"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基于上述背景，本设计尝试设计并实现一个面向湛江中小制造企业的企业信息化系统核心平台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本设计具有一定的理论意义和实践意义。在理论层面，本设计将数据库中心架构、微前端、BPMN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设计以南派食品的真实业务场景为基础，围绕人事管理和物料管理两个核心域展开建设，能够为企业实现台账追踪、人员治理、流程联动和后续业务扩展提供较低成本的技术支撑。因此，本设计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设计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设计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等提出，应用接口不一定都要建立在厚重的应用服务器层之上，而可以更多围绕数据模型和数据库能力进行组织，从而形成以数据为中心的应用接口模式[20]。这一思路与本设计采用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7" w:name="本设计主要研究内容"/>
    <w:p>
      <w:pPr>
        <w:pStyle w:val="Heading2"/>
      </w:pPr>
      <w:r>
        <w:t xml:space="preserve">1.3 </w:t>
      </w:r>
      <w:r>
        <w:rPr>
          <w:rFonts w:hint="eastAsia"/>
        </w:rPr>
        <w:t xml:space="preserve">本设计主要研究内容</w:t>
      </w:r>
    </w:p>
    <w:p>
      <w:pPr>
        <w:pStyle w:val="FirstParagraph"/>
      </w:pPr>
      <w:r>
        <w:rPr>
          <w:rFonts w:hint="eastAsia"/>
        </w:rPr>
        <w:t xml:space="preserve">结合前述问题分析，本设计围绕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设计的研究内容不仅具有方案设计层面的讨论，也具有一定的实现和验证基础。</w:t>
      </w:r>
    </w:p>
    <w:p>
      <w:pPr>
        <w:pStyle w:val="BodyText"/>
      </w:pPr>
      <w:r>
        <w:rPr>
          <w:rFonts w:hint="eastAsia"/>
        </w:rPr>
        <w:t xml:space="preserve">图1-1并不是目录翻版，而是把本设计的收敛路径压成一条清晰主线。图中从企业现实约束出发，先落到需求分析，再进入总体设计、关键技术路线、系统实现和测试验证，最后回到说明书成文。这样安排的目的，是把“南派食品到底遇到了什么问题”“EISCore</w:t>
      </w:r>
      <w:r>
        <w:t xml:space="preserve"> </w:t>
      </w:r>
      <w:r>
        <w:rPr>
          <w:rFonts w:hint="eastAsia"/>
        </w:rPr>
        <w:t xml:space="preserve">为什么这样设计”“后面各章分别承接哪一段工作”放在同一张图里讲清楚。</w:t>
      </w:r>
      <w:r>
        <w:br/>
      </w:r>
      <w:r>
        <w:rPr>
          <w:rFonts w:hint="eastAsia"/>
        </w:rPr>
        <w:t xml:space="preserve">见图1-1</w:t>
      </w:r>
      <w:r>
        <w:t xml:space="preserve"> </w:t>
      </w:r>
      <w:hyperlink r:id="rId16">
        <w:r>
          <w:rPr>
            <w:rStyle w:val="Hyperlink"/>
            <w:rFonts w:hint="eastAsia"/>
          </w:rPr>
          <w:t xml:space="preserve">图1-1_论文研究思路与技术路线图.svg</w:t>
        </w:r>
      </w:hyperlink>
      <w:r>
        <w:t xml:space="preserve">。</w:t>
      </w:r>
    </w:p>
    <w:bookmarkEnd w:id="17"/>
    <w:bookmarkStart w:id="18" w:name="本设计组织结构"/>
    <w:p>
      <w:pPr>
        <w:pStyle w:val="Heading2"/>
      </w:pPr>
      <w:r>
        <w:t xml:space="preserve">1.4 </w:t>
      </w:r>
      <w:r>
        <w:rPr>
          <w:rFonts w:hint="eastAsia"/>
        </w:rPr>
        <w:t xml:space="preserve">本设计组织结构</w:t>
      </w:r>
    </w:p>
    <w:p>
      <w:pPr>
        <w:pStyle w:val="FirstParagraph"/>
      </w:pPr>
      <w:r>
        <w:rPr>
          <w:rFonts w:hint="eastAsia"/>
        </w:rPr>
        <w:t xml:space="preserve">本设计共分为八章，各章内容安排如下。</w:t>
      </w:r>
    </w:p>
    <w:p>
      <w:pPr>
        <w:pStyle w:val="BodyText"/>
      </w:pPr>
      <w:r>
        <w:rPr>
          <w:rFonts w:hint="eastAsia"/>
        </w:rPr>
        <w:t xml:space="preserve">第一章为绪论，主要介绍课题研究背景、研究意义、国内外研究现状以及本设计的主要研究内容与结构安排。第二章介绍系统开发涉及的关键技术和工具，包括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并在结论部分总结全文工作、指出存在的不足以及未来改进方向。</w:t>
      </w:r>
    </w:p>
    <w:bookmarkEnd w:id="18"/>
    <w:bookmarkStart w:id="19" w:name="本设计的特点与创新点"/>
    <w:p>
      <w:pPr>
        <w:pStyle w:val="Heading2"/>
      </w:pPr>
      <w:r>
        <w:t xml:space="preserve">1.5 </w:t>
      </w:r>
      <w:r>
        <w:rPr>
          <w:rFonts w:hint="eastAsia"/>
        </w:rPr>
        <w:t xml:space="preserve">本设计的特点与创新点</w:t>
      </w:r>
    </w:p>
    <w:p>
      <w:pPr>
        <w:pStyle w:val="FirstParagraph"/>
      </w:pPr>
      <w:r>
        <w:rPr>
          <w:rFonts w:hint="eastAsia"/>
        </w:rPr>
        <w:t xml:space="preserve">与传统单纯围绕功能模块开发的毕业设计相比，本设计的工作主要有以下几个特点。</w:t>
      </w:r>
    </w:p>
    <w:p>
      <w:pPr>
        <w:pStyle w:val="BodyText"/>
      </w:pPr>
      <w:r>
        <w:rPr>
          <w:rFonts w:hint="eastAsia"/>
        </w:rPr>
        <w:t xml:space="preserve">第一，本设计并未采用常见的“前端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设计在实现物料管理、人事管理和流程协同的基础上，引入了轻量本体语义增强机制，使系统不只是完成业务数据录入和展示，还能够从语义层面描述业务对象、字段含义和关系结构。第三，本设计把流程建模、权限治理、动态应用配置和语义表达放在同一套平台中统筹考虑，力图解决企业信息系统中常见的“功能做出来了，但后续不好扩展”的问题。第四，本设计的研究不是停留在概念方案上，而是建立在当前项目已完成约</w:t>
      </w:r>
      <w:r>
        <w:t xml:space="preserve"> 80% </w:t>
      </w:r>
      <w:r>
        <w:rPr>
          <w:rFonts w:hint="eastAsia"/>
        </w:rPr>
        <w:t xml:space="preserve">的系统实现基础上，具有一定的工程验证价值。</w:t>
      </w:r>
    </w:p>
    <w:bookmarkEnd w:id="19"/>
    <w:bookmarkEnd w:id="20"/>
    <w:bookmarkStart w:id="31" w:name="第二章-相关技术介绍"/>
    <w:p>
      <w:pPr>
        <w:pStyle w:val="Heading1"/>
      </w:pPr>
      <w:r>
        <w:rPr>
          <w:rFonts w:hint="eastAsia"/>
        </w:rPr>
        <w:t xml:space="preserve">第二章</w:t>
      </w:r>
      <w:r>
        <w:t xml:space="preserve"> </w:t>
      </w:r>
      <w:r>
        <w:rPr>
          <w:rFonts w:hint="eastAsia"/>
        </w:rPr>
        <w:t xml:space="preserve">相关技术介绍</w:t>
      </w:r>
    </w:p>
    <w:bookmarkStart w:id="21"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1"/>
    <w:bookmarkStart w:id="22"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设计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本设计在前端总体结构中选用了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总体设计的内容，后文将在第四章进一步展开。</w:t>
      </w:r>
    </w:p>
    <w:bookmarkEnd w:id="22"/>
    <w:bookmarkStart w:id="23"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等库处理文本与文档内容。这些技术并不是本设计研究的主体，但它们在实际系统实现中承担了必要的工具角色，使系统功能能够完整落地。</w:t>
      </w:r>
    </w:p>
    <w:bookmarkEnd w:id="23"/>
    <w:bookmarkStart w:id="24"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数据库是本系统最核心的技术基础。与传统企业系统将主要业务逻辑集中在应用服务器不同，本设计采用以数据库为中心的实现思路，将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在本设计中并不只是一个被动存储层，而是整个系统的核心基础设施。</w:t>
      </w:r>
    </w:p>
    <w:bookmarkEnd w:id="24"/>
    <w:bookmarkStart w:id="25"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API。对于中小企业定制系统而言，这种模式虽然常见，但会带来较高的开发与维护成本。本设计引入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5"/>
    <w:bookmarkStart w:id="26"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状态流转”之间的统一描述方式。这也是本设计在系统治理层面较有特点的一部分。</w:t>
      </w:r>
    </w:p>
    <w:bookmarkEnd w:id="26"/>
    <w:bookmarkStart w:id="27"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设计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设计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7"/>
    <w:bookmarkStart w:id="28"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设计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设计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28"/>
    <w:bookmarkStart w:id="29"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为了提高系统的可部署性和环境一致性，本设计采用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29"/>
    <w:bookmarkStart w:id="30"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30"/>
    <w:bookmarkEnd w:id="31"/>
    <w:bookmarkStart w:id="70" w:name="第三章-需求分析"/>
    <w:p>
      <w:pPr>
        <w:pStyle w:val="Heading1"/>
      </w:pPr>
      <w:r>
        <w:rPr>
          <w:rFonts w:hint="eastAsia"/>
        </w:rPr>
        <w:t xml:space="preserve">第三章</w:t>
      </w:r>
      <w:r>
        <w:t xml:space="preserve"> </w:t>
      </w:r>
      <w:r>
        <w:rPr>
          <w:rFonts w:hint="eastAsia"/>
        </w:rPr>
        <w:t xml:space="preserve">需求分析</w:t>
      </w:r>
    </w:p>
    <w:bookmarkStart w:id="32"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设计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2"/>
    <w:bookmarkStart w:id="33"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3"/>
    <w:bookmarkStart w:id="34"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4"/>
    <w:bookmarkStart w:id="41" w:name="现有业务流程分析"/>
    <w:p>
      <w:pPr>
        <w:pStyle w:val="Heading2"/>
      </w:pPr>
      <w:r>
        <w:t xml:space="preserve">3.4 </w:t>
      </w:r>
      <w:r>
        <w:rPr>
          <w:rFonts w:hint="eastAsia"/>
        </w:rPr>
        <w:t xml:space="preserve">现有业务流程分析</w:t>
      </w:r>
    </w:p>
    <w:p>
      <w:pPr>
        <w:pStyle w:val="FirstParagraph"/>
      </w:pPr>
      <w:r>
        <w:rPr>
          <w:rFonts w:hint="eastAsia"/>
        </w:rPr>
        <w:t xml:space="preserve">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br/>
      </w:r>
      <w:r>
        <w:rPr>
          <w:rFonts w:hint="eastAsia"/>
        </w:rPr>
        <w:t xml:space="preserve">见图3-1</w:t>
      </w:r>
      <w:r>
        <w:t xml:space="preserve"> </w:t>
      </w:r>
      <w:hyperlink r:id="rId35">
        <w:r>
          <w:rPr>
            <w:rStyle w:val="Hyperlink"/>
            <w:rFonts w:hint="eastAsia"/>
          </w:rPr>
          <w:t xml:space="preserve">图3-1_南派食品供应链与生产协同泳道图.svg</w:t>
        </w:r>
      </w:hyperlink>
      <w:r>
        <w:t xml:space="preserve">。</w:t>
      </w:r>
    </w:p>
    <w:bookmarkStart w:id="36"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36"/>
    <w:bookmarkStart w:id="37"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37"/>
    <w:bookmarkStart w:id="38"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38"/>
    <w:bookmarkStart w:id="39"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9"/>
    <w:bookmarkStart w:id="40"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40"/>
    <w:bookmarkEnd w:id="41"/>
    <w:bookmarkStart w:id="60"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本系统在当前设计范围内可归纳为基础平台、人事管理、物料与仓储、应用中心、移动端以及数据与权限支撑几个核心功能域。这里先给出图3-6，不是为了重复列模块名称，而是先把“哪些属于当前主实现内容，哪些属于支撑能力”一次说明清楚。图中的人事、仓储、应用中心和移动端对应当前已经落地或阶段性落地的主要页面与链路，主数据、流程和语义支撑则对应后面设计章节中要继续展开的底层能力。</w:t>
      </w:r>
      <w:r>
        <w:br/>
      </w:r>
      <w:r>
        <w:rPr>
          <w:rFonts w:hint="eastAsia"/>
        </w:rPr>
        <w:t xml:space="preserve">见图3-6</w:t>
      </w:r>
      <w:r>
        <w:t xml:space="preserve"> </w:t>
      </w:r>
      <w:hyperlink r:id="rId42">
        <w:r>
          <w:rPr>
            <w:rStyle w:val="Hyperlink"/>
            <w:rFonts w:hint="eastAsia"/>
          </w:rPr>
          <w:t xml:space="preserve">图3-6_EISCore总体功能结构图.svg</w:t>
        </w:r>
      </w:hyperlink>
      <w:r>
        <w:t xml:space="preserve">。</w:t>
      </w:r>
    </w:p>
    <w:p>
      <w:pPr>
        <w:pStyle w:val="BodyText"/>
      </w:pPr>
      <w:r>
        <w:rPr>
          <w:rFonts w:hint="eastAsia"/>
        </w:rPr>
        <w:t xml:space="preserve">在总体功能结构基础上，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br/>
      </w:r>
      <w:r>
        <w:rPr>
          <w:rFonts w:hint="eastAsia"/>
        </w:rPr>
        <w:t xml:space="preserve">见图3-2</w:t>
      </w:r>
      <w:r>
        <w:t xml:space="preserve"> </w:t>
      </w:r>
      <w:hyperlink r:id="rId43">
        <w:r>
          <w:rPr>
            <w:rStyle w:val="Hyperlink"/>
            <w:rFonts w:hint="eastAsia"/>
          </w:rPr>
          <w:t xml:space="preserve">图3-2_销售计划与采购用例图.svg</w:t>
        </w:r>
      </w:hyperlink>
      <w:r>
        <w:t xml:space="preserve">。</w:t>
      </w:r>
    </w:p>
    <w:p>
      <w:pPr>
        <w:pStyle w:val="BodyText"/>
      </w:pPr>
      <w:r>
        <w:rPr>
          <w:rFonts w:hint="eastAsia"/>
        </w:rPr>
        <w:t xml:space="preserve">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本设计中的批次管理、保质期管理和库存一致性关系最紧密，因此将其作为独立用例图更便于后续展开。</w:t>
      </w:r>
      <w:r>
        <w:br/>
      </w:r>
      <w:r>
        <w:rPr>
          <w:rFonts w:hint="eastAsia"/>
        </w:rPr>
        <w:t xml:space="preserve">见图3-3</w:t>
      </w:r>
      <w:r>
        <w:t xml:space="preserve"> </w:t>
      </w:r>
      <w:hyperlink r:id="rId44">
        <w:r>
          <w:rPr>
            <w:rStyle w:val="Hyperlink"/>
            <w:rFonts w:hint="eastAsia"/>
          </w:rPr>
          <w:t xml:space="preserve">图3-3_仓储与库存作业用例图.svg</w:t>
        </w:r>
      </w:hyperlink>
      <w:r>
        <w:t xml:space="preserve">。</w:t>
      </w:r>
    </w:p>
    <w:p>
      <w:pPr>
        <w:pStyle w:val="BodyText"/>
      </w:pPr>
      <w:r>
        <w:rPr>
          <w:rFonts w:hint="eastAsia"/>
        </w:rPr>
        <w:t xml:space="preserve">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br/>
      </w:r>
      <w:r>
        <w:rPr>
          <w:rFonts w:hint="eastAsia"/>
        </w:rPr>
        <w:t xml:space="preserve">见图3-4</w:t>
      </w:r>
      <w:r>
        <w:t xml:space="preserve"> </w:t>
      </w:r>
      <w:hyperlink r:id="rId45">
        <w:r>
          <w:rPr>
            <w:rStyle w:val="Hyperlink"/>
            <w:rFonts w:hint="eastAsia"/>
          </w:rPr>
          <w:t xml:space="preserve">图3-4_质量检验与审批用例图.svg</w:t>
        </w:r>
      </w:hyperlink>
      <w:r>
        <w:t xml:space="preserve">。</w:t>
      </w:r>
    </w:p>
    <w:p>
      <w:pPr>
        <w:pStyle w:val="BodyText"/>
      </w:pPr>
      <w:r>
        <w:rPr>
          <w:rFonts w:hint="eastAsia"/>
        </w:rPr>
        <w:t xml:space="preserve">在质量与流程之外，系统还需要支持订单追溯、批次追溯、物流信息登记以及经营统计查看等能力，其对应关系如图3-5所示。该图更多体现系统对管理层、仓储岗位和销售岗位的支撑作用，也是本设计后续讨论追溯和经营查看能力的重要依据。</w:t>
      </w:r>
      <w:r>
        <w:br/>
      </w:r>
      <w:r>
        <w:rPr>
          <w:rFonts w:hint="eastAsia"/>
        </w:rPr>
        <w:t xml:space="preserve">见图3-5</w:t>
      </w:r>
      <w:r>
        <w:t xml:space="preserve"> </w:t>
      </w:r>
      <w:hyperlink r:id="rId46">
        <w:r>
          <w:rPr>
            <w:rStyle w:val="Hyperlink"/>
            <w:rFonts w:hint="eastAsia"/>
          </w:rPr>
          <w:t xml:space="preserve">图3-5_追溯与经营管理用例图.svg</w:t>
        </w:r>
      </w:hyperlink>
      <w:r>
        <w:t xml:space="preserve">。</w:t>
      </w:r>
    </w:p>
    <w:bookmarkStart w:id="47"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47"/>
    <w:bookmarkStart w:id="48"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48"/>
    <w:bookmarkStart w:id="49"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49"/>
    <w:bookmarkStart w:id="50"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50"/>
    <w:bookmarkStart w:id="51"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51"/>
    <w:bookmarkStart w:id="52"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52"/>
    <w:bookmarkStart w:id="53"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53"/>
    <w:bookmarkStart w:id="54"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54"/>
    <w:bookmarkStart w:id="55"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55"/>
    <w:bookmarkStart w:id="56"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为了使需求分析结果更便于后续概要设计和详细设计调用，本设计进一步将当前设计范围内的核心功能需求整理为表3-2。该表强调“模块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需求说明”的对应关系，便于后续与第四章概要架构以及第七章系统实现进行对照。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56"/>
    <w:bookmarkStart w:id="59" w:name="代表性用例规约"/>
    <w:p>
      <w:pPr>
        <w:pStyle w:val="Heading3"/>
      </w:pPr>
      <w:r>
        <w:t xml:space="preserve">3.5.11 </w:t>
      </w:r>
      <w:r>
        <w:rPr>
          <w:rFonts w:hint="eastAsia"/>
        </w:rPr>
        <w:t xml:space="preserve">代表性用例规约</w:t>
      </w:r>
    </w:p>
    <w:p>
      <w:pPr>
        <w:pStyle w:val="FirstParagraph"/>
      </w:pPr>
      <w:r>
        <w:rPr>
          <w:rFonts w:hint="eastAsia"/>
        </w:rPr>
        <w:t xml:space="preserve">仅有总体功能结构图和用例图，还不足以说明关键业务在系统中的实际发生方式。因此，本设计进一步选取销售订单下推与计划生成、采购入库与来料检验、生产领料与补料以及审批处理与状态写回四类关键场景，分别采用用例规约表的方式描述参与角色、前置条件、基本事件流和异常事件流，以便为后续详细设计提供依据。</w:t>
      </w:r>
    </w:p>
    <w:p>
      <w:pPr>
        <w:pStyle w:val="BodyText"/>
      </w:pPr>
      <w:r>
        <w:rPr>
          <w:rFonts w:hint="eastAsia"/>
        </w:rPr>
        <w:t xml:space="preserve">首先，对销售订单下推与计划生成这一协同场景进行规约，其对应内容如表3-3所示。该表用于说明销售端和</w:t>
      </w:r>
      <w:r>
        <w:t xml:space="preserve"> PMC </w:t>
      </w:r>
      <w:r>
        <w:rPr>
          <w:rFonts w:hint="eastAsia"/>
        </w:rPr>
        <w:t xml:space="preserve">之间如何完成订单下推、库存判断与计划生成。</w:t>
      </w:r>
    </w:p>
    <w:p>
      <w:pPr>
        <w:pStyle w:val="BodyText"/>
      </w:pPr>
      <w:r>
        <w:rPr>
          <w:rFonts w:hint="eastAsia"/>
        </w:rPr>
        <w:t xml:space="preserve">表3-3</w:t>
      </w:r>
      <w:r>
        <w:t xml:space="preserve"> </w:t>
      </w:r>
      <w:r>
        <w:rPr>
          <w:rFonts w:hint="eastAsia"/>
        </w:rPr>
        <w:t xml:space="preserve">用例规约：销售订单下推与计划生成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销售订单下推与计划生成</w:t>
            </w:r>
          </w:p>
        </w:tc>
      </w:tr>
      <w:tr>
        <w:tc>
          <w:tcPr/>
          <w:p>
            <w:pPr>
              <w:pStyle w:val="Compact"/>
            </w:pPr>
            <w:r>
              <w:rPr>
                <w:rFonts w:hint="eastAsia"/>
              </w:rPr>
              <w:t xml:space="preserve">参与角色</w:t>
            </w:r>
          </w:p>
        </w:tc>
        <w:tc>
          <w:tcPr/>
          <w:p>
            <w:pPr>
              <w:pStyle w:val="Compact"/>
            </w:pPr>
            <w:r>
              <w:rPr>
                <w:rFonts w:hint="eastAsia"/>
              </w:rPr>
              <w:t xml:space="preserve">销售文员、PMC计划员</w:t>
            </w:r>
          </w:p>
        </w:tc>
      </w:tr>
      <w:tr>
        <w:tc>
          <w:tcPr/>
          <w:p>
            <w:pPr>
              <w:pStyle w:val="Compact"/>
            </w:pPr>
            <w:r>
              <w:rPr>
                <w:rFonts w:hint="eastAsia"/>
              </w:rPr>
              <w:t xml:space="preserve">前置条件</w:t>
            </w:r>
          </w:p>
        </w:tc>
        <w:tc>
          <w:tcPr/>
          <w:p>
            <w:pPr>
              <w:pStyle w:val="Compact"/>
            </w:pPr>
            <w:r>
              <w:rPr>
                <w:rFonts w:hint="eastAsia"/>
              </w:rPr>
              <w:t xml:space="preserve">已维护客户档案、客户物料清单和销售合同；系统中已存在可用基础物料和库存数据</w:t>
            </w:r>
          </w:p>
        </w:tc>
      </w:tr>
      <w:tr>
        <w:tc>
          <w:tcPr/>
          <w:p>
            <w:pPr>
              <w:pStyle w:val="Compact"/>
            </w:pPr>
            <w:r>
              <w:rPr>
                <w:rFonts w:hint="eastAsia"/>
              </w:rPr>
              <w:t xml:space="preserve">触发条件</w:t>
            </w:r>
          </w:p>
        </w:tc>
        <w:tc>
          <w:tcPr/>
          <w:p>
            <w:pPr>
              <w:pStyle w:val="Compact"/>
            </w:pPr>
            <w:r>
              <w:rPr>
                <w:rFonts w:hint="eastAsia"/>
              </w:rPr>
              <w:t xml:space="preserve">销售文员根据客户合同创建销售订单，并提交至计划环节</w:t>
            </w:r>
          </w:p>
        </w:tc>
      </w:tr>
      <w:tr>
        <w:tc>
          <w:tcPr/>
          <w:p>
            <w:pPr>
              <w:pStyle w:val="Compact"/>
            </w:pPr>
            <w:r>
              <w:rPr>
                <w:rFonts w:hint="eastAsia"/>
              </w:rPr>
              <w:t xml:space="preserve">基本事件流</w:t>
            </w:r>
          </w:p>
        </w:tc>
        <w:tc>
          <w:tcPr/>
          <w:p>
            <w:pPr>
              <w:pStyle w:val="Compact"/>
            </w:pPr>
            <w:r>
              <w:t xml:space="preserve">1. </w:t>
            </w:r>
            <w:r>
              <w:rPr>
                <w:rFonts w:hint="eastAsia"/>
              </w:rPr>
              <w:t xml:space="preserve">销售文员录入或选择销售合同。2.</w:t>
            </w:r>
            <w:r>
              <w:t xml:space="preserve"> </w:t>
            </w:r>
            <w:r>
              <w:rPr>
                <w:rFonts w:hint="eastAsia"/>
              </w:rPr>
              <w:t xml:space="preserve">系统根据合同信息下推生成销售订单。3.</w:t>
            </w:r>
            <w:r>
              <w:t xml:space="preserve"> </w:t>
            </w:r>
            <w:r>
              <w:rPr>
                <w:rFonts w:hint="eastAsia"/>
              </w:rPr>
              <w:t xml:space="preserve">PMC计划员查询成品库存与订单数量。4.</w:t>
            </w:r>
            <w:r>
              <w:t xml:space="preserve"> </w:t>
            </w:r>
            <w:r>
              <w:rPr>
                <w:rFonts w:hint="eastAsia"/>
              </w:rPr>
              <w:t xml:space="preserve">若库存满足，则标记为可直接发货。5.</w:t>
            </w:r>
            <w:r>
              <w:t xml:space="preserve"> </w:t>
            </w:r>
            <w:r>
              <w:rPr>
                <w:rFonts w:hint="eastAsia"/>
              </w:rPr>
              <w:t xml:space="preserve">若库存不足，则生成生产计划并进入缺料分析。6.</w:t>
            </w:r>
            <w:r>
              <w:t xml:space="preserve"> </w:t>
            </w:r>
            <w:r>
              <w:rPr>
                <w:rFonts w:hint="eastAsia"/>
              </w:rPr>
              <w:t xml:space="preserve">系统记录订单状态，供销售、PMC和仓库共同查看。</w:t>
            </w:r>
          </w:p>
        </w:tc>
      </w:tr>
      <w:tr>
        <w:tc>
          <w:tcPr/>
          <w:p>
            <w:pPr>
              <w:pStyle w:val="Compact"/>
            </w:pPr>
            <w:r>
              <w:rPr>
                <w:rFonts w:hint="eastAsia"/>
              </w:rPr>
              <w:t xml:space="preserve">异常事件流</w:t>
            </w:r>
          </w:p>
        </w:tc>
        <w:tc>
          <w:tcPr/>
          <w:p>
            <w:pPr>
              <w:pStyle w:val="Compact"/>
            </w:pPr>
            <w:r>
              <w:t xml:space="preserve">1. </w:t>
            </w:r>
            <w:r>
              <w:rPr>
                <w:rFonts w:hint="eastAsia"/>
              </w:rPr>
              <w:t xml:space="preserve">客户物料映射不存在时，系统提示补充客户物料清单。2.</w:t>
            </w:r>
            <w:r>
              <w:t xml:space="preserve"> </w:t>
            </w:r>
            <w:r>
              <w:rPr>
                <w:rFonts w:hint="eastAsia"/>
              </w:rPr>
              <w:t xml:space="preserve">销售订单关键信息缺失时，不允许提交到计划环节。3.</w:t>
            </w:r>
            <w:r>
              <w:t xml:space="preserve"> </w:t>
            </w:r>
            <w:r>
              <w:rPr>
                <w:rFonts w:hint="eastAsia"/>
              </w:rPr>
              <w:t xml:space="preserve">库存数据异常或无法读取时，PMC只能先保留订单，待人工确认。</w:t>
            </w:r>
          </w:p>
        </w:tc>
      </w:tr>
      <w:tr>
        <w:tc>
          <w:tcPr/>
          <w:p>
            <w:pPr>
              <w:pStyle w:val="Compact"/>
            </w:pPr>
            <w:r>
              <w:rPr>
                <w:rFonts w:hint="eastAsia"/>
              </w:rPr>
              <w:t xml:space="preserve">后置条件</w:t>
            </w:r>
          </w:p>
        </w:tc>
        <w:tc>
          <w:tcPr/>
          <w:p>
            <w:pPr>
              <w:pStyle w:val="Compact"/>
            </w:pPr>
            <w:r>
              <w:rPr>
                <w:rFonts w:hint="eastAsia"/>
              </w:rPr>
              <w:t xml:space="preserve">销售订单与后续计划状态建立关联；订单进入“可发货”或“待排产”状态。</w:t>
            </w:r>
          </w:p>
        </w:tc>
      </w:tr>
    </w:tbl>
    <w:p>
      <w:pPr>
        <w:pStyle w:val="BodyText"/>
      </w:pPr>
      <w:r>
        <w:rPr>
          <w:rFonts w:hint="eastAsia"/>
        </w:rPr>
        <w:t xml:space="preserve">表3-3给出的并不是抽象业务描述，而是销售订单如何进入计划判断、库存校验和后续排产链路的约束说明。它对应的是销售与</w:t>
      </w:r>
      <w:r>
        <w:t xml:space="preserve"> PMC </w:t>
      </w:r>
      <w:r>
        <w:rPr>
          <w:rFonts w:hint="eastAsia"/>
        </w:rPr>
        <w:t xml:space="preserve">之间最先发生的协同过程，也为后续采购和生产链路的规约建立了起点。</w:t>
      </w:r>
    </w:p>
    <w:p>
      <w:pPr>
        <w:pStyle w:val="BodyText"/>
      </w:pPr>
      <w:r>
        <w:rPr>
          <w:rFonts w:hint="eastAsia"/>
        </w:rPr>
        <w:t xml:space="preserve">其次，对采购入库与来料检验场景进行规约，如表3-4所示。这个场景之所以单独抽出来，是因为南派食品并不是“到货就直接入库”的简单仓储逻辑，而是到货登记、来料检验、合格判定、正式入库和待补录处理几步同时存在。表3-4先把这些约束固定下来，后面的活动图再继续说明它们在流程上怎样衔接。</w:t>
      </w:r>
    </w:p>
    <w:p>
      <w:pPr>
        <w:pStyle w:val="BodyText"/>
      </w:pPr>
      <w:r>
        <w:rPr>
          <w:rFonts w:hint="eastAsia"/>
        </w:rPr>
        <w:t xml:space="preserve">表3-4</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已存在采购订单；物料已到厂；质检项目或检验附件规则已预先配置</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采购人员或仓库登记到货，发起来料检验和入库处理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系统关联对应采购订单。3.</w:t>
            </w:r>
            <w:r>
              <w:t xml:space="preserve"> </w:t>
            </w:r>
            <w:r>
              <w:rPr>
                <w:rFonts w:hint="eastAsia"/>
              </w:rPr>
              <w:t xml:space="preserve">质检人员创建来料检验单。4.</w:t>
            </w:r>
            <w:r>
              <w:t xml:space="preserve"> </w:t>
            </w:r>
            <w:r>
              <w:rPr>
                <w:rFonts w:hint="eastAsia"/>
              </w:rPr>
              <w:t xml:space="preserve">检验合格后，仓管员办理采购入库。5.</w:t>
            </w:r>
            <w:r>
              <w:t xml:space="preserve"> </w:t>
            </w:r>
            <w:r>
              <w:rPr>
                <w:rFonts w:hint="eastAsia"/>
              </w:rPr>
              <w:t xml:space="preserve">系统生成批次记录并写入库存流水。6.</w:t>
            </w:r>
            <w:r>
              <w:t xml:space="preserve"> </w:t>
            </w:r>
            <w:r>
              <w:rPr>
                <w:rFonts w:hint="eastAsia"/>
              </w:rPr>
              <w:t xml:space="preserve">入库结果可供后续领料、追溯和库存台账查询使用。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检验结果暂未出具时，系统保留“待补录”状态，并允许后续补传附件或补录结论。3.</w:t>
            </w:r>
            <w:r>
              <w:t xml:space="preserve"> </w:t>
            </w:r>
            <w:r>
              <w:rPr>
                <w:rFonts w:hint="eastAsia"/>
              </w:rPr>
              <w:t xml:space="preserve">采购订单不存在或物料不匹配时，系统提示到货登记失败。</w:t>
            </w:r>
          </w:p>
        </w:tc>
      </w:tr>
      <w:tr>
        <w:tc>
          <w:tcPr/>
          <w:p>
            <w:pPr>
              <w:pStyle w:val="Compact"/>
            </w:pPr>
            <w:r>
              <w:rPr>
                <w:rFonts w:hint="eastAsia"/>
              </w:rPr>
              <w:t xml:space="preserve">后置条件</w:t>
            </w:r>
          </w:p>
        </w:tc>
        <w:tc>
          <w:tcPr/>
          <w:p>
            <w:pPr>
              <w:pStyle w:val="Compact"/>
            </w:pPr>
            <w:r>
              <w:rPr>
                <w:rFonts w:hint="eastAsia"/>
              </w:rPr>
              <w:t xml:space="preserve">采购单、检验单、入库单和库存批次建立关联；库存台账同步更新。</w:t>
            </w:r>
          </w:p>
        </w:tc>
      </w:tr>
    </w:tbl>
    <w:p>
      <w:pPr>
        <w:pStyle w:val="BodyText"/>
      </w:pPr>
      <w:r>
        <w:rPr>
          <w:rFonts w:hint="eastAsia"/>
        </w:rPr>
        <w:t xml:space="preserve">表3-4重点约束的是“到货登记、检验结论和正式入库”三者之间的顺序关系。对本设计而言，这张规约表的作用不是替代活动图，而是先把参与角色、前置条件和异常分支固定下来，随后再用活动图表达其流程走向。</w:t>
      </w:r>
    </w:p>
    <w:p>
      <w:pPr>
        <w:pStyle w:val="BodyText"/>
      </w:pPr>
      <w:r>
        <w:rPr>
          <w:rFonts w:hint="eastAsia"/>
        </w:rPr>
        <w:t xml:space="preserve">在完成采购入库与来料检验用例规约之后，本设计进一步绘制对应活动图。采购入库与来料检验活动图如图3-7所示。该图重点反映“到货登记—来料检验—是否合格—正式入库/待补录”这条链路，对应采购与质检之间的协同需求，也与表3-4中的用例规约形成一一对应。</w:t>
      </w:r>
      <w:r>
        <w:br/>
      </w:r>
      <w:r>
        <w:rPr>
          <w:rFonts w:hint="eastAsia"/>
        </w:rPr>
        <w:t xml:space="preserve">见图3-7</w:t>
      </w:r>
      <w:r>
        <w:t xml:space="preserve"> </w:t>
      </w:r>
      <w:hyperlink r:id="rId57">
        <w:r>
          <w:rPr>
            <w:rStyle w:val="Hyperlink"/>
            <w:rFonts w:hint="eastAsia"/>
          </w:rPr>
          <w:t xml:space="preserve">图3-7_采购入库与来料检验活动图.svg</w:t>
        </w:r>
      </w:hyperlink>
      <w:r>
        <w:t xml:space="preserve">。</w:t>
      </w:r>
    </w:p>
    <w:p>
      <w:pPr>
        <w:pStyle w:val="BodyText"/>
      </w:pPr>
      <w:r>
        <w:rPr>
          <w:rFonts w:hint="eastAsia"/>
        </w:rPr>
        <w:t xml:space="preserve">再次，对生产领料与补料场景进行规约，如表3-5所示。该表用于说明车间领料、补料申请和仓库执行之间的链路关系。</w:t>
      </w:r>
    </w:p>
    <w:p>
      <w:pPr>
        <w:pStyle w:val="BodyText"/>
      </w:pPr>
      <w:r>
        <w:rPr>
          <w:rFonts w:hint="eastAsia"/>
        </w:rPr>
        <w:t xml:space="preserve">表3-5</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rPr>
                <w:rFonts w:hint="eastAsia"/>
              </w:rPr>
              <w:t xml:space="preserve">PMC计划员、生产主管、仓管员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已下达生产订单；系统中存在工单用料清单；相关物料库存可查询</w:t>
            </w:r>
          </w:p>
        </w:tc>
      </w:tr>
      <w:tr>
        <w:tc>
          <w:tcPr/>
          <w:p>
            <w:pPr>
              <w:pStyle w:val="Compact"/>
            </w:pPr>
            <w:r>
              <w:rPr>
                <w:rFonts w:hint="eastAsia"/>
              </w:rPr>
              <w:t xml:space="preserve">触发条件</w:t>
            </w:r>
          </w:p>
        </w:tc>
        <w:tc>
          <w:tcPr/>
          <w:p>
            <w:pPr>
              <w:pStyle w:val="Compact"/>
            </w:pPr>
            <w:r>
              <w:rPr>
                <w:rFonts w:hint="eastAsia"/>
              </w:rPr>
              <w:t xml:space="preserve">车间根据生产任务发起领料，或在生产过程中追加辅料</w:t>
            </w:r>
          </w:p>
        </w:tc>
      </w:tr>
      <w:tr>
        <w:tc>
          <w:tcPr/>
          <w:p>
            <w:pPr>
              <w:pStyle w:val="Compact"/>
            </w:pPr>
            <w:r>
              <w:rPr>
                <w:rFonts w:hint="eastAsia"/>
              </w:rPr>
              <w:t xml:space="preserve">基本事件流</w:t>
            </w:r>
          </w:p>
        </w:tc>
        <w:tc>
          <w:tcPr/>
          <w:p>
            <w:pPr>
              <w:pStyle w:val="Compact"/>
            </w:pPr>
            <w:r>
              <w:t xml:space="preserve">1. </w:t>
            </w:r>
            <w:r>
              <w:rPr>
                <w:rFonts w:hint="eastAsia"/>
              </w:rPr>
              <w:t xml:space="preserve">PMC下达生产任务。2.</w:t>
            </w:r>
            <w:r>
              <w:t xml:space="preserve"> </w:t>
            </w:r>
            <w:r>
              <w:rPr>
                <w:rFonts w:hint="eastAsia"/>
              </w:rPr>
              <w:t xml:space="preserve">生产主管依据计划和配方发起领料申请。3.</w:t>
            </w:r>
            <w:r>
              <w:t xml:space="preserve"> </w:t>
            </w:r>
            <w:r>
              <w:rPr>
                <w:rFonts w:hint="eastAsia"/>
              </w:rPr>
              <w:t xml:space="preserve">仓管员按批次执行领料出库。4.</w:t>
            </w:r>
            <w:r>
              <w:t xml:space="preserve"> </w:t>
            </w:r>
            <w:r>
              <w:rPr>
                <w:rFonts w:hint="eastAsia"/>
              </w:rPr>
              <w:t xml:space="preserve">生产过程中若因原料属性变化需要追加辅料，则生产主管发起补料申请。5.</w:t>
            </w:r>
            <w:r>
              <w:t xml:space="preserve"> </w:t>
            </w:r>
            <w:r>
              <w:rPr>
                <w:rFonts w:hint="eastAsia"/>
              </w:rPr>
              <w:t xml:space="preserve">仓管员办理补料出库。6.</w:t>
            </w:r>
            <w:r>
              <w:t xml:space="preserve"> </w:t>
            </w:r>
            <w:r>
              <w:rPr>
                <w:rFonts w:hint="eastAsia"/>
              </w:rPr>
              <w:t xml:space="preserve">系统记录领料、补料与对应生产任务之间的关系。</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批次库存不足时，系统不允许继续出库。2.</w:t>
            </w:r>
            <w:r>
              <w:t xml:space="preserve"> </w:t>
            </w:r>
            <w:r>
              <w:rPr>
                <w:rFonts w:hint="eastAsia"/>
              </w:rPr>
              <w:t xml:space="preserve">领错料、补料原因不清或未关联生产订单时，系统要求补充说明。3.</w:t>
            </w:r>
            <w:r>
              <w:t xml:space="preserve"> </w:t>
            </w:r>
            <w:r>
              <w:rPr>
                <w:rFonts w:hint="eastAsia"/>
              </w:rPr>
              <w:t xml:space="preserve">若相关物料已过有效期，则系统禁止出库。</w:t>
            </w:r>
          </w:p>
        </w:tc>
      </w:tr>
      <w:tr>
        <w:tc>
          <w:tcPr/>
          <w:p>
            <w:pPr>
              <w:pStyle w:val="Compact"/>
            </w:pPr>
            <w:r>
              <w:rPr>
                <w:rFonts w:hint="eastAsia"/>
              </w:rPr>
              <w:t xml:space="preserve">后置条件</w:t>
            </w:r>
          </w:p>
        </w:tc>
        <w:tc>
          <w:tcPr/>
          <w:p>
            <w:pPr>
              <w:pStyle w:val="Compact"/>
            </w:pPr>
            <w:r>
              <w:rPr>
                <w:rFonts w:hint="eastAsia"/>
              </w:rPr>
              <w:t xml:space="preserve">领料、补料、生产任务和库存台账形成可追溯关系；库存数量同步变更。</w:t>
            </w:r>
          </w:p>
        </w:tc>
      </w:tr>
    </w:tbl>
    <w:p>
      <w:pPr>
        <w:pStyle w:val="BodyText"/>
      </w:pPr>
      <w:r>
        <w:rPr>
          <w:rFonts w:hint="eastAsia"/>
        </w:rPr>
        <w:t xml:space="preserve">表3-5说明了标准领料与补料申请为什么要分开处理。它把车间申请、仓库执行和库存变动之间的依赖关系先固定下来，再用后面的活动图去表现“标准领料后仍可能继续补料”这一食品加工场景中的特殊分支。</w:t>
      </w:r>
    </w:p>
    <w:p>
      <w:pPr>
        <w:pStyle w:val="BodyText"/>
      </w:pPr>
      <w:r>
        <w:rPr>
          <w:rFonts w:hint="eastAsia"/>
        </w:rPr>
        <w:t xml:space="preserve">在完成生产领料与补料用例规约之后，本设计进一步绘制对应活动图。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见图3-8</w:t>
      </w:r>
      <w:r>
        <w:t xml:space="preserve"> </w:t>
      </w:r>
      <w:hyperlink r:id="rId58">
        <w:r>
          <w:rPr>
            <w:rStyle w:val="Hyperlink"/>
            <w:rFonts w:hint="eastAsia"/>
          </w:rPr>
          <w:t xml:space="preserve">图3-8_生产领料与补料活动图.svg</w:t>
        </w:r>
      </w:hyperlink>
      <w:r>
        <w:t xml:space="preserve">。</w:t>
      </w:r>
    </w:p>
    <w:p>
      <w:pPr>
        <w:pStyle w:val="BodyText"/>
      </w:pPr>
      <w:r>
        <w:rPr>
          <w:rFonts w:hint="eastAsia"/>
        </w:rPr>
        <w:t xml:space="preserve">最后，对审批处理与状态写回场景进行规约，如表3-6所示。该表用于说明流程发起、审批处理、状态映射和业务写回之间的协同关系。</w:t>
      </w:r>
    </w:p>
    <w:p>
      <w:pPr>
        <w:pStyle w:val="BodyText"/>
      </w:pPr>
      <w:r>
        <w:rPr>
          <w:rFonts w:hint="eastAsia"/>
        </w:rPr>
        <w:t xml:space="preserve">表3-6</w:t>
      </w:r>
      <w:r>
        <w:t xml:space="preserve"> </w:t>
      </w:r>
      <w:r>
        <w:rPr>
          <w:rFonts w:hint="eastAsia"/>
        </w:rPr>
        <w:t xml:space="preserve">用例规约：审批处理与状态写回</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审批处理与状态写回</w:t>
            </w:r>
          </w:p>
        </w:tc>
      </w:tr>
      <w:tr>
        <w:tc>
          <w:tcPr/>
          <w:p>
            <w:pPr>
              <w:pStyle w:val="Compact"/>
            </w:pPr>
            <w:r>
              <w:rPr>
                <w:rFonts w:hint="eastAsia"/>
              </w:rPr>
              <w:t xml:space="preserve">参与角色</w:t>
            </w:r>
          </w:p>
        </w:tc>
        <w:tc>
          <w:tcPr/>
          <w:p>
            <w:pPr>
              <w:pStyle w:val="Compact"/>
            </w:pPr>
            <w:r>
              <w:rPr>
                <w:rFonts w:hint="eastAsia"/>
              </w:rPr>
              <w:t xml:space="preserve">业务提交人、审批人员、管理层</w:t>
            </w:r>
          </w:p>
        </w:tc>
      </w:tr>
      <w:tr>
        <w:tc>
          <w:tcPr/>
          <w:p>
            <w:pPr>
              <w:pStyle w:val="Compact"/>
            </w:pPr>
            <w:r>
              <w:rPr>
                <w:rFonts w:hint="eastAsia"/>
              </w:rPr>
              <w:t xml:space="preserve">前置条件</w:t>
            </w:r>
          </w:p>
        </w:tc>
        <w:tc>
          <w:tcPr/>
          <w:p>
            <w:pPr>
              <w:pStyle w:val="Compact"/>
            </w:pPr>
            <w:r>
              <w:rPr>
                <w:rFonts w:hint="eastAsia"/>
              </w:rPr>
              <w:t xml:space="preserve">已存在可发起流程的业务单据；流程定义和状态映射已配置</w:t>
            </w:r>
          </w:p>
        </w:tc>
      </w:tr>
      <w:tr>
        <w:tc>
          <w:tcPr/>
          <w:p>
            <w:pPr>
              <w:pStyle w:val="Compact"/>
            </w:pPr>
            <w:r>
              <w:rPr>
                <w:rFonts w:hint="eastAsia"/>
              </w:rPr>
              <w:t xml:space="preserve">触发条件</w:t>
            </w:r>
          </w:p>
        </w:tc>
        <w:tc>
          <w:tcPr/>
          <w:p>
            <w:pPr>
              <w:pStyle w:val="Compact"/>
            </w:pPr>
            <w:r>
              <w:rPr>
                <w:rFonts w:hint="eastAsia"/>
              </w:rPr>
              <w:t xml:space="preserve">业务用户在页面上点击“提交审批”或审批人员在审批中心处理待办任务</w:t>
            </w:r>
          </w:p>
        </w:tc>
      </w:tr>
      <w:tr>
        <w:tc>
          <w:tcPr/>
          <w:p>
            <w:pPr>
              <w:pStyle w:val="Compact"/>
            </w:pPr>
            <w:r>
              <w:rPr>
                <w:rFonts w:hint="eastAsia"/>
              </w:rPr>
              <w:t xml:space="preserve">基本事件流</w:t>
            </w:r>
          </w:p>
        </w:tc>
        <w:tc>
          <w:tcPr/>
          <w:p>
            <w:pPr>
              <w:pStyle w:val="Compact"/>
            </w:pPr>
            <w:r>
              <w:t xml:space="preserve">1. </w:t>
            </w:r>
            <w:r>
              <w:rPr>
                <w:rFonts w:hint="eastAsia"/>
              </w:rPr>
              <w:t xml:space="preserve">业务用户发起审批流程。2.</w:t>
            </w:r>
            <w:r>
              <w:t xml:space="preserve"> </w:t>
            </w:r>
            <w:r>
              <w:rPr>
                <w:rFonts w:hint="eastAsia"/>
              </w:rPr>
              <w:t xml:space="preserve">系统创建流程实例并生成首个待办任务。3.</w:t>
            </w:r>
            <w:r>
              <w:t xml:space="preserve"> </w:t>
            </w:r>
            <w:r>
              <w:rPr>
                <w:rFonts w:hint="eastAsia"/>
              </w:rPr>
              <w:t xml:space="preserve">审批人员在审批中心查看并处理待办。4.</w:t>
            </w:r>
            <w:r>
              <w:t xml:space="preserve"> </w:t>
            </w:r>
            <w:r>
              <w:rPr>
                <w:rFonts w:hint="eastAsia"/>
              </w:rPr>
              <w:t xml:space="preserve">系统根据审批结果推进流程节点。5.</w:t>
            </w:r>
            <w:r>
              <w:t xml:space="preserve"> </w:t>
            </w:r>
            <w:r>
              <w:rPr>
                <w:rFonts w:hint="eastAsia"/>
              </w:rPr>
              <w:t xml:space="preserve">系统读取状态映射规则并写回业务表状态字段。6.</w:t>
            </w:r>
            <w:r>
              <w:t xml:space="preserve"> </w:t>
            </w:r>
            <w:r>
              <w:rPr>
                <w:rFonts w:hint="eastAsia"/>
              </w:rPr>
              <w:t xml:space="preserve">页面刷新后显示新的业务状态。</w:t>
            </w:r>
          </w:p>
        </w:tc>
      </w:tr>
      <w:tr>
        <w:tc>
          <w:tcPr/>
          <w:p>
            <w:pPr>
              <w:pStyle w:val="Compact"/>
            </w:pPr>
            <w:r>
              <w:rPr>
                <w:rFonts w:hint="eastAsia"/>
              </w:rPr>
              <w:t xml:space="preserve">异常事件流</w:t>
            </w:r>
          </w:p>
        </w:tc>
        <w:tc>
          <w:tcPr/>
          <w:p>
            <w:pPr>
              <w:pStyle w:val="Compact"/>
            </w:pPr>
            <w:r>
              <w:t xml:space="preserve">1. </w:t>
            </w:r>
            <w:r>
              <w:rPr>
                <w:rFonts w:hint="eastAsia"/>
              </w:rPr>
              <w:t xml:space="preserve">当前用户无审批权限时，系统拒绝处理任务。2.</w:t>
            </w:r>
            <w:r>
              <w:t xml:space="preserve"> </w:t>
            </w:r>
            <w:r>
              <w:rPr>
                <w:rFonts w:hint="eastAsia"/>
              </w:rPr>
              <w:t xml:space="preserve">状态映射缺失时，流程实例可继续推进，但系统记录“未执行状态写回”。3.</w:t>
            </w:r>
            <w:r>
              <w:t xml:space="preserve"> </w:t>
            </w:r>
            <w:r>
              <w:rPr>
                <w:rFonts w:hint="eastAsia"/>
              </w:rPr>
              <w:t xml:space="preserve">业务单据已失效或被撤回时，不允许继续审批。</w:t>
            </w:r>
          </w:p>
        </w:tc>
      </w:tr>
      <w:tr>
        <w:tc>
          <w:tcPr/>
          <w:p>
            <w:pPr>
              <w:pStyle w:val="Compact"/>
            </w:pPr>
            <w:r>
              <w:rPr>
                <w:rFonts w:hint="eastAsia"/>
              </w:rPr>
              <w:t xml:space="preserve">后置条件</w:t>
            </w:r>
          </w:p>
        </w:tc>
        <w:tc>
          <w:tcPr/>
          <w:p>
            <w:pPr>
              <w:pStyle w:val="Compact"/>
            </w:pPr>
            <w:r>
              <w:rPr>
                <w:rFonts w:hint="eastAsia"/>
              </w:rPr>
              <w:t xml:space="preserve">审批记录被保存；流程实例状态更新；业务表状态与流程节点保持一致或留下异常痕迹。</w:t>
            </w:r>
          </w:p>
        </w:tc>
      </w:tr>
    </w:tbl>
    <w:p>
      <w:pPr>
        <w:pStyle w:val="BodyText"/>
      </w:pPr>
      <w:r>
        <w:rPr>
          <w:rFonts w:hint="eastAsia"/>
        </w:rPr>
        <w:t xml:space="preserve">表3-6用于把流程发起、任务处理和业务状态写回之间的关系固定下来。它对应的是后续第四章和第六章要进一步展开的实现链路，因此在需求阶段先以规约表形式说明其边界和异常情况，有助于后文继续展开设计。</w:t>
      </w:r>
    </w:p>
    <w:bookmarkEnd w:id="59"/>
    <w:bookmarkEnd w:id="60"/>
    <w:bookmarkStart w:id="61"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61"/>
    <w:bookmarkStart w:id="68"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62"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62"/>
    <w:bookmarkStart w:id="63"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63"/>
    <w:bookmarkStart w:id="64"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64"/>
    <w:bookmarkStart w:id="65"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65"/>
    <w:bookmarkStart w:id="66"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66"/>
    <w:bookmarkStart w:id="67"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为了使非功能需求更清晰，表3-7对当前设计范围内最关键的非功能需求进行归纳。</w:t>
      </w:r>
    </w:p>
    <w:p>
      <w:pPr>
        <w:pStyle w:val="BodyText"/>
      </w:pPr>
      <w:r>
        <w:rPr>
          <w:rFonts w:hint="eastAsia"/>
        </w:rPr>
        <w:t xml:space="preserve">表3-7</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67"/>
    <w:bookmarkEnd w:id="68"/>
    <w:bookmarkStart w:id="69" w:name="本章小结-1"/>
    <w:p>
      <w:pPr>
        <w:pStyle w:val="Heading2"/>
      </w:pPr>
      <w:r>
        <w:t xml:space="preserve">3.8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这里保留下来的重点，不是通用进销存系统都能写出来的抽象需求，而是南派食品现场确实存在的补料、质检延迟、客户物料映射、批次与保质期管理、纸质单据附件化以及细粒度权限控制等问题。需求分析走到这里，已经可以看出本系统后续为何要采用数据库中心架构、流程状态映射和轻量语义支撑：企业真正缺的不是一个单点页面，而是一套能把订单、库存、流程和追溯链路收回到同一底座中的信息化系统。后续章节将在这个基础上继续展开总体设计和数据库设计。</w:t>
      </w:r>
    </w:p>
    <w:bookmarkEnd w:id="69"/>
    <w:bookmarkEnd w:id="70"/>
    <w:bookmarkStart w:id="89" w:name="第四章-系统概要设计"/>
    <w:p>
      <w:pPr>
        <w:pStyle w:val="Heading1"/>
      </w:pPr>
      <w:r>
        <w:rPr>
          <w:rFonts w:hint="eastAsia"/>
        </w:rPr>
        <w:t xml:space="preserve">第四章</w:t>
      </w:r>
      <w:r>
        <w:t xml:space="preserve"> </w:t>
      </w:r>
      <w:r>
        <w:rPr>
          <w:rFonts w:hint="eastAsia"/>
        </w:rPr>
        <w:t xml:space="preserve">系统概要设计</w:t>
      </w:r>
    </w:p>
    <w:bookmarkStart w:id="71" w:name="系统概要设计目标"/>
    <w:p>
      <w:pPr>
        <w:pStyle w:val="Heading2"/>
      </w:pPr>
      <w:r>
        <w:t xml:space="preserve">4.1 </w:t>
      </w:r>
      <w:r>
        <w:rPr>
          <w:rFonts w:hint="eastAsia"/>
        </w:rPr>
        <w:t xml:space="preserve">系统概要设计目标</w:t>
      </w:r>
    </w:p>
    <w:p>
      <w:pPr>
        <w:pStyle w:val="FirstParagraph"/>
      </w:pPr>
      <w:r>
        <w:rPr>
          <w:rFonts w:hint="eastAsia"/>
        </w:rPr>
        <w:t xml:space="preserve">在完成需求分析之后，本系统的概要设计任务不是继续罗列功能点，而是把前一章已经明确的业务需求转化为可运行、可扩展、可维护的系统架构。对于南派食品这类中小制造企业而言，真正的难点不在于“页面能否做出来”，而在于如何在预算有限、专职运维能力不足、现场流程经常变化的前提下，把库存、人员、审批、追溯和移动作业组织到同一套底座之中。</w:t>
      </w:r>
    </w:p>
    <w:p>
      <w:pPr>
        <w:pStyle w:val="BodyText"/>
      </w:pPr>
      <w:r>
        <w:rPr>
          <w:rFonts w:hint="eastAsia"/>
        </w:rPr>
        <w:t xml:space="preserve">结合当前实现范围，EISCore</w:t>
      </w:r>
      <w:r>
        <w:t xml:space="preserve"> </w:t>
      </w:r>
      <w:r>
        <w:rPr>
          <w:rFonts w:hint="eastAsia"/>
        </w:rPr>
        <w:t xml:space="preserve">的概要设计目标主要有四点。第一，围绕人事管理和物料管理两条主线建立稳定底座，使用户、角色、物料、仓库、批次和库存流水等关键对象都能够被统一组织。第二，把流程配置、状态写回和权限边界纳入同一条运行链路中，减少“流程单独跑、业务单独记”的脱节情况。第三，在架构层面压缩传统后端服务层的大量样板开发，把通用数据访问、部分业务约束和权限控制尽量下沉到底层统一处理。第四，为后续数据应用配置、闪念应用、语义增强和现场扩展预留接口，使本系统既能先稳定核心链路，也能继续向后扩展。</w:t>
      </w:r>
    </w:p>
    <w:bookmarkEnd w:id="71"/>
    <w:bookmarkStart w:id="76" w:name="设计原则"/>
    <w:p>
      <w:pPr>
        <w:pStyle w:val="Heading2"/>
      </w:pPr>
      <w:r>
        <w:t xml:space="preserve">4.2 </w:t>
      </w:r>
      <w:r>
        <w:rPr>
          <w:rFonts w:hint="eastAsia"/>
        </w:rPr>
        <w:t xml:space="preserve">设计原则</w:t>
      </w:r>
    </w:p>
    <w:bookmarkStart w:id="72"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概要设计中所有技术选择都以前一章需求分析得到的业务链路为前提。</w:t>
      </w:r>
    </w:p>
    <w:bookmarkEnd w:id="72"/>
    <w:bookmarkStart w:id="73"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关键业务数据的一致性。</w:t>
      </w:r>
    </w:p>
    <w:bookmarkEnd w:id="73"/>
    <w:bookmarkStart w:id="74"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企业信息系统在实际使用过程中往往会随着业务变化不断新增模块和字段。如果系统一开始就采用强耦合结构，后续扩展成本会很高。因此，EISCore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74"/>
    <w:bookmarkStart w:id="75"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中小制造企业数字化建设不可能一次性完成所有能力，因此本系统采用渐进式落地思路。对当前急需解决的核心链路优先实现，对设备联网、能耗采集、智能排程和更深层的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75"/>
    <w:bookmarkEnd w:id="76"/>
    <w:bookmarkStart w:id="78"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架构如图4-1所示。该图的重点不是列出所有页面，而是说明“用户入口—前端子应用—接口运行层—数据库底座—部署环境”之间的分层架构关系。</w:t>
      </w:r>
      <w:r>
        <w:br/>
      </w:r>
      <w:r>
        <w:rPr>
          <w:rFonts w:hint="eastAsia"/>
        </w:rPr>
        <w:t xml:space="preserve">见图4-1</w:t>
      </w:r>
      <w:r>
        <w:t xml:space="preserve"> </w:t>
      </w:r>
      <w:hyperlink r:id="rId77">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w:t>
      </w:r>
      <w:r>
        <w:rPr>
          <w:rStyle w:val="VerbatimChar"/>
        </w:rPr>
        <w:t xml:space="preserve">qiankun</w:t>
      </w:r>
      <w:r>
        <w:t xml:space="preserve"> </w:t>
      </w:r>
      <w:r>
        <w:rPr>
          <w:rFonts w:hint="eastAsia"/>
        </w:rPr>
        <w:t xml:space="preserve">组织人事子应用、物料子应用和应用中心。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把数据库中的表、视图和函数自动映射为接口服务；工作流运行组件负责承载流程实例和任务流转；辅助运行组件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整体来看，这套架构并不是对常见三层架构的简单替换，而是围绕中小企业“轻量部署、低运维负担、易扩展”这一目标形成的定向设计。</w:t>
      </w:r>
    </w:p>
    <w:bookmarkEnd w:id="78"/>
    <w:bookmarkStart w:id="87" w:name="关键设计思路"/>
    <w:p>
      <w:pPr>
        <w:pStyle w:val="Heading2"/>
      </w:pPr>
      <w:r>
        <w:t xml:space="preserve">4.4 </w:t>
      </w:r>
      <w:r>
        <w:rPr>
          <w:rFonts w:hint="eastAsia"/>
        </w:rPr>
        <w:t xml:space="preserve">关键设计思路</w:t>
      </w:r>
    </w:p>
    <w:bookmarkStart w:id="79" w:name="微前端业务拆分"/>
    <w:p>
      <w:pPr>
        <w:pStyle w:val="Heading3"/>
      </w:pPr>
      <w:r>
        <w:t xml:space="preserve">4.4.1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79"/>
    <w:bookmarkStart w:id="80" w:name="数据接口自动映射"/>
    <w:p>
      <w:pPr>
        <w:pStyle w:val="Heading3"/>
      </w:pPr>
      <w:r>
        <w:t xml:space="preserve">4.4.2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80"/>
    <w:bookmarkStart w:id="81" w:name="流程与数据协同设计"/>
    <w:p>
      <w:pPr>
        <w:pStyle w:val="Heading3"/>
      </w:pPr>
      <w:r>
        <w:t xml:space="preserve">4.4.3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81"/>
    <w:bookmarkStart w:id="82" w:name="语义增强兼容设计"/>
    <w:p>
      <w:pPr>
        <w:pStyle w:val="Heading3"/>
      </w:pPr>
      <w:r>
        <w:t xml:space="preserve">4.4.4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82"/>
    <w:bookmarkStart w:id="84" w:name="关键技术组织关系"/>
    <w:p>
      <w:pPr>
        <w:pStyle w:val="Heading3"/>
      </w:pPr>
      <w:r>
        <w:t xml:space="preserve">4.4.5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r>
        <w:t xml:space="preserve"> </w:t>
      </w:r>
      <w:hyperlink r:id="rId83">
        <w:r>
          <w:rPr>
            <w:rStyle w:val="Hyperlink"/>
            <w:rFonts w:hint="eastAsia"/>
          </w:rPr>
          <w:t xml:space="preserve">图4-3_EISCore技术组织关系图.svg</w:t>
        </w:r>
      </w:hyperlink>
      <w:r>
        <w:t xml:space="preserve">。</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84"/>
    <w:bookmarkStart w:id="86" w:name="闪念应用智能体与语义联动设计"/>
    <w:p>
      <w:pPr>
        <w:pStyle w:val="Heading3"/>
      </w:pPr>
      <w:r>
        <w:t xml:space="preserve">4.4.6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w:t>
      </w:r>
      <w:r>
        <w:t xml:space="preserve"> FlashBuilder、Agent </w:t>
      </w:r>
      <w:r>
        <w:rPr>
          <w:rFonts w:hint="eastAsia"/>
        </w:rPr>
        <w:t xml:space="preserve">Runtime、白名单工具、数据表格应用、流程对象和轻量语义之间的组织关系。</w:t>
      </w:r>
      <w:r>
        <w:br/>
      </w:r>
      <w:r>
        <w:rPr>
          <w:rFonts w:hint="eastAsia"/>
        </w:rPr>
        <w:t xml:space="preserve">见图4-4</w:t>
      </w:r>
      <w:r>
        <w:t xml:space="preserve"> </w:t>
      </w:r>
      <w:hyperlink r:id="rId85">
        <w:r>
          <w:rPr>
            <w:rStyle w:val="Hyperlink"/>
            <w:rFonts w:hint="eastAsia"/>
          </w:rPr>
          <w:t xml:space="preserve">图4-4_闪念应用智能体与轻量语义联动图.svg</w:t>
        </w:r>
      </w:hyperlink>
      <w:r>
        <w:t xml:space="preserve">。</w:t>
      </w:r>
    </w:p>
    <w:p>
      <w:pPr>
        <w:pStyle w:val="BodyText"/>
      </w:pPr>
      <w:r>
        <w:rPr>
          <w:rFonts w:hint="eastAsia"/>
        </w:rPr>
        <w:t xml:space="preserve">这部分设计说明，系统中的智能体能力并不是脱离业务数据独立运行的。它在运行时需要识别对象类型，再调用允许访问的工具与接口，并借助轻量语义解释表结构、字段含义和流程对象状态，最终把草稿、页面和数据应用联接起来。这一组织方式也是本设计区别于普通业务管理系统的一个特色。</w:t>
      </w:r>
    </w:p>
    <w:bookmarkEnd w:id="86"/>
    <w:bookmarkEnd w:id="87"/>
    <w:bookmarkStart w:id="88" w:name="本章小结-2"/>
    <w:p>
      <w:pPr>
        <w:pStyle w:val="Heading2"/>
      </w:pPr>
      <w:r>
        <w:t xml:space="preserve">4.5 </w:t>
      </w:r>
      <w:r>
        <w:rPr>
          <w:rFonts w:hint="eastAsia"/>
        </w:rPr>
        <w:t xml:space="preserve">本章小结</w:t>
      </w:r>
    </w:p>
    <w:p>
      <w:pPr>
        <w:pStyle w:val="FirstParagraph"/>
      </w:pPr>
      <w:r>
        <w:rPr>
          <w:rFonts w:hint="eastAsia"/>
        </w:rPr>
        <w:t xml:space="preserve">本章从概要设计目标、设计原则、总体架构和关键设计思路四个方面，对</w:t>
      </w:r>
      <w:r>
        <w:t xml:space="preserve"> EISCore </w:t>
      </w:r>
      <w:r>
        <w:rPr>
          <w:rFonts w:hint="eastAsia"/>
        </w:rPr>
        <w:t xml:space="preserve">的整体组织方式进行了说明。总体来看，本系统不是简单叠加多个业务页面，而是在数据库中心架构、微前端拆分、流程协同和语义增强机制的基础上形成的一套企业信息化底座。第四章所确定的概要架构，为下一章数据库设计和后续详细设计提供了系统性的框架基础。</w:t>
      </w:r>
    </w:p>
    <w:bookmarkEnd w:id="88"/>
    <w:bookmarkEnd w:id="89"/>
    <w:bookmarkStart w:id="120" w:name="第五章-数据库设计"/>
    <w:p>
      <w:pPr>
        <w:pStyle w:val="Heading1"/>
      </w:pPr>
      <w:r>
        <w:rPr>
          <w:rFonts w:hint="eastAsia"/>
        </w:rPr>
        <w:t xml:space="preserve">第五章</w:t>
      </w:r>
      <w:r>
        <w:t xml:space="preserve"> </w:t>
      </w:r>
      <w:r>
        <w:rPr>
          <w:rFonts w:hint="eastAsia"/>
        </w:rPr>
        <w:t xml:space="preserve">数据库设计</w:t>
      </w:r>
    </w:p>
    <w:bookmarkStart w:id="90"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数据库设计是本设计的核心部分。与传统企业系统中数据库主要承担持久化存储不同，EISCore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0"/>
    <w:bookmarkStart w:id="91"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方式对不同业务域进行划分。当前系统中与本设计主线密切相关的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91"/>
    <w:bookmarkStart w:id="93"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从本设计主线出发，EISCore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92">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93"/>
    <w:bookmarkStart w:id="96" w:name="组织与权限相关表设计"/>
    <w:p>
      <w:pPr>
        <w:pStyle w:val="Heading2"/>
      </w:pPr>
      <w:r>
        <w:t xml:space="preserve">5.4 </w:t>
      </w:r>
      <w:r>
        <w:rPr>
          <w:rFonts w:hint="eastAsia"/>
        </w:rPr>
        <w:t xml:space="preserve">组织与权限相关表设计</w:t>
      </w:r>
    </w:p>
    <w:bookmarkStart w:id="94"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94"/>
    <w:bookmarkStart w:id="95"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95"/>
    <w:bookmarkEnd w:id="96"/>
    <w:bookmarkStart w:id="101" w:name="物料与仓储相关表设计"/>
    <w:p>
      <w:pPr>
        <w:pStyle w:val="Heading2"/>
      </w:pPr>
      <w:r>
        <w:t xml:space="preserve">5.5 </w:t>
      </w:r>
      <w:r>
        <w:rPr>
          <w:rFonts w:hint="eastAsia"/>
        </w:rPr>
        <w:t xml:space="preserve">物料与仓储相关表设计</w:t>
      </w:r>
    </w:p>
    <w:bookmarkStart w:id="97"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97"/>
    <w:bookmarkStart w:id="98"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98"/>
    <w:bookmarkStart w:id="99"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99"/>
    <w:bookmarkStart w:id="100"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00"/>
    <w:bookmarkEnd w:id="101"/>
    <w:bookmarkStart w:id="105" w:name="应用中心与流程相关表设计"/>
    <w:p>
      <w:pPr>
        <w:pStyle w:val="Heading2"/>
      </w:pPr>
      <w:r>
        <w:t xml:space="preserve">5.6 </w:t>
      </w:r>
      <w:r>
        <w:rPr>
          <w:rFonts w:hint="eastAsia"/>
        </w:rPr>
        <w:t xml:space="preserve">应用中心与流程相关表设计</w:t>
      </w:r>
    </w:p>
    <w:bookmarkStart w:id="102"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02"/>
    <w:bookmarkStart w:id="103"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03"/>
    <w:bookmarkStart w:id="104"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04"/>
    <w:bookmarkEnd w:id="105"/>
    <w:bookmarkStart w:id="106"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06"/>
    <w:bookmarkStart w:id="107"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设计区别于一般</w:t>
      </w:r>
      <w:r>
        <w:t xml:space="preserve"> CRUD </w:t>
      </w:r>
      <w:r>
        <w:rPr>
          <w:rFonts w:hint="eastAsia"/>
        </w:rPr>
        <w:t xml:space="preserve">型毕业设计的重要地方之一。</w:t>
      </w:r>
    </w:p>
    <w:bookmarkEnd w:id="107"/>
    <w:bookmarkStart w:id="118"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设计优先选取用户、角色、物料、库存、应用中心和流程运行等对本设计主线影响最大的表进行展示。</w:t>
      </w:r>
    </w:p>
    <w:bookmarkStart w:id="108"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08"/>
    <w:bookmarkStart w:id="109"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09"/>
    <w:bookmarkStart w:id="110"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10"/>
    <w:bookmarkStart w:id="111"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1"/>
    <w:bookmarkStart w:id="112"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2"/>
    <w:bookmarkStart w:id="113"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3"/>
    <w:bookmarkStart w:id="114"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4"/>
    <w:bookmarkStart w:id="115"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15"/>
    <w:bookmarkStart w:id="116"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16"/>
    <w:bookmarkStart w:id="117"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以上表格展示了当前设计阶段最核心的物理表结构。由于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17"/>
    <w:bookmarkEnd w:id="118"/>
    <w:bookmarkStart w:id="119"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19"/>
    <w:bookmarkEnd w:id="120"/>
    <w:bookmarkStart w:id="159" w:name="第六章-详细设计"/>
    <w:p>
      <w:pPr>
        <w:pStyle w:val="Heading1"/>
      </w:pPr>
      <w:r>
        <w:rPr>
          <w:rFonts w:hint="eastAsia"/>
        </w:rPr>
        <w:t xml:space="preserve">第六章</w:t>
      </w:r>
      <w:r>
        <w:t xml:space="preserve"> </w:t>
      </w:r>
      <w:r>
        <w:rPr>
          <w:rFonts w:hint="eastAsia"/>
        </w:rPr>
        <w:t xml:space="preserve">详细设计</w:t>
      </w:r>
    </w:p>
    <w:bookmarkStart w:id="123"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设计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21"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在本设计中，详细设计的基本单元并不是“类及其成员方法”，而是“页面组件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为了说明数据库中心架构下详细设计对象的组织方式，本设计将页面入口、接口暴露层、数据库函数、核心业务表和流程运行对象之间的对应关系归纳为表6-1。该表的作用是给后续各小节建立统一参照，说明本设计为何以函数、表和时序链路替代传统类设计展开详细设计。</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在本设计中的表现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21"/>
    <w:bookmarkStart w:id="122"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设计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22"/>
    <w:bookmarkEnd w:id="123"/>
    <w:bookmarkStart w:id="131" w:name="用户与权限控制详细设计"/>
    <w:p>
      <w:pPr>
        <w:pStyle w:val="Heading2"/>
      </w:pPr>
      <w:r>
        <w:t xml:space="preserve">6.2 </w:t>
      </w:r>
      <w:r>
        <w:rPr>
          <w:rFonts w:hint="eastAsia"/>
        </w:rPr>
        <w:t xml:space="preserve">用户与权限控制详细设计</w:t>
      </w:r>
    </w:p>
    <w:bookmarkStart w:id="124" w:name="设计目标"/>
    <w:p>
      <w:pPr>
        <w:pStyle w:val="Heading3"/>
      </w:pPr>
      <w:r>
        <w:t xml:space="preserve">6.2.1 </w:t>
      </w:r>
      <w:r>
        <w:rPr>
          <w:rFonts w:hint="eastAsia"/>
        </w:rPr>
        <w:t xml:space="preserve">设计目标</w:t>
      </w:r>
    </w:p>
    <w:p>
      <w:pPr>
        <w:pStyle w:val="FirstParagraph"/>
      </w:pPr>
      <w:r>
        <w:rPr>
          <w:rFonts w:hint="eastAsia"/>
        </w:rPr>
        <w:t xml:space="preserve">本节不再重复用户表、角色表和岗位表的字段结构，而是重点说明权限控制在本系统中怎样实际运行。对</w:t>
      </w:r>
      <w:r>
        <w:t xml:space="preserve"> EISCore </w:t>
      </w:r>
      <w:r>
        <w:rPr>
          <w:rFonts w:hint="eastAsia"/>
        </w:rPr>
        <w:t xml:space="preserve">而言，权限问题并不止是“有没有角色”这么简单，而是要回答三个连续问题：用户进入页面时凭什么能访问；请求送到接口层时如何携带身份；请求真正落到数据库时又由谁决定能否读取、写入或推进流程。只有把这三层串起来，数据库中心架构下的权限控制才算说清楚。</w:t>
      </w:r>
    </w:p>
    <w:bookmarkEnd w:id="124"/>
    <w:bookmarkStart w:id="125" w:name="实现链路"/>
    <w:p>
      <w:pPr>
        <w:pStyle w:val="Heading3"/>
      </w:pPr>
      <w:r>
        <w:t xml:space="preserve">6.2.2 </w:t>
      </w:r>
      <w:r>
        <w:rPr>
          <w:rFonts w:hint="eastAsia"/>
        </w:rPr>
        <w:t xml:space="preserve">实现链路</w:t>
      </w:r>
    </w:p>
    <w:p>
      <w:pPr>
        <w:pStyle w:val="FirstParagraph"/>
      </w:pPr>
      <w:r>
        <w:rPr>
          <w:rFonts w:hint="eastAsia"/>
        </w:rPr>
        <w:t xml:space="preserve">本系统的权限控制链路由前端状态识别、接口层身份传递和数据库层访问裁决三部分组成。用户在基座或子应用中登录后，前端先把用户编号、角色集合、部门岗位信息和菜单权限写入用户状态；页面渲染时，路由守卫和按钮权限函数先做第一层过滤；随后，请求由</w:t>
      </w:r>
      <w:r>
        <w:t xml:space="preserve"> PostgREST </w:t>
      </w:r>
      <w:r>
        <w:rPr>
          <w:rFonts w:hint="eastAsia"/>
        </w:rPr>
        <w:t xml:space="preserve">携带</w:t>
      </w:r>
      <w:r>
        <w:t xml:space="preserve"> JWT </w:t>
      </w:r>
      <w:r>
        <w:rPr>
          <w:rFonts w:hint="eastAsia"/>
        </w:rPr>
        <w:t xml:space="preserve">声明进入数据库；数据库函数、视图和启用</w:t>
      </w:r>
      <w:r>
        <w:t xml:space="preserve"> RLS </w:t>
      </w:r>
      <w:r>
        <w:rPr>
          <w:rFonts w:hint="eastAsia"/>
        </w:rPr>
        <w:t xml:space="preserve">的表再根据</w:t>
      </w:r>
      <w:r>
        <w:t xml:space="preserve"> </w:t>
      </w:r>
      <w:r>
        <w:rPr>
          <w:rStyle w:val="VerbatimChar"/>
        </w:rPr>
        <w:t xml:space="preserve">request.jwt.claims</w:t>
      </w:r>
      <w:r>
        <w:t xml:space="preserve"> </w:t>
      </w:r>
      <w:r>
        <w:rPr>
          <w:rFonts w:hint="eastAsia"/>
        </w:rPr>
        <w:t xml:space="preserve">判断当前用户是否具备访问资格。也就是说，本系统不是依靠某个单独的</w:t>
      </w:r>
      <w:r>
        <w:t xml:space="preserve"> </w:t>
      </w:r>
      <w:r>
        <w:rPr>
          <w:rStyle w:val="VerbatimChar"/>
        </w:rPr>
        <w:t xml:space="preserve">controller</w:t>
      </w:r>
      <w:r>
        <w:t xml:space="preserve"> </w:t>
      </w:r>
      <w:r>
        <w:rPr>
          <w:rFonts w:hint="eastAsia"/>
        </w:rPr>
        <w:t xml:space="preserve">或</w:t>
      </w:r>
      <w:r>
        <w:t xml:space="preserve"> </w:t>
      </w:r>
      <w:r>
        <w:rPr>
          <w:rStyle w:val="VerbatimChar"/>
        </w:rPr>
        <w:t xml:space="preserve">service</w:t>
      </w:r>
      <w:r>
        <w:t xml:space="preserve"> </w:t>
      </w:r>
      <w:r>
        <w:rPr>
          <w:rFonts w:hint="eastAsia"/>
        </w:rPr>
        <w:t xml:space="preserve">类来集中做权限判断，而是把“页面是否可进”“接口是否可调”“数据是否可见”拆到不同层分别拦截。真正需要说明的，是页面输入如何进入接口、接口如何把身份传到数据库，以及数据库最后如何完成拦截。</w:t>
      </w:r>
    </w:p>
    <w:p>
      <w:pPr>
        <w:pStyle w:val="BodyText"/>
      </w:pPr>
      <w:r>
        <w:rPr>
          <w:rFonts w:hint="eastAsia"/>
        </w:rPr>
        <w:t xml:space="preserve">如果把这一过程落到当前实现，可以更具体地描述为：用户首先在基座登录页完成人员身份识别，登录结果会写入前端用户状态；随后，人事应用、物料应用和应用中心中的页面根据该状态决定菜单可见范围和按钮可操作范围；当用户点击“查询”“新增”“发布”或“提交审批”等操作时，请求经由</w:t>
      </w:r>
      <w:r>
        <w:t xml:space="preserve"> PostgREST </w:t>
      </w:r>
      <w:r>
        <w:rPr>
          <w:rFonts w:hint="eastAsia"/>
        </w:rPr>
        <w:t xml:space="preserve">进入数据库；数据库侧再结合</w:t>
      </w:r>
      <w:r>
        <w:t xml:space="preserve"> </w:t>
      </w:r>
      <w:r>
        <w:rPr>
          <w:rStyle w:val="VerbatimChar"/>
        </w:rPr>
        <w:t xml:space="preserve">public.users</w:t>
      </w:r>
      <w:r>
        <w:t xml:space="preserve">、</w:t>
      </w:r>
      <w:r>
        <w:rPr>
          <w:rStyle w:val="VerbatimChar"/>
        </w:rPr>
        <w:t xml:space="preserve">public.user_roles</w:t>
      </w:r>
      <w:r>
        <w:t xml:space="preserve"> </w:t>
      </w:r>
      <w:r>
        <w:rPr>
          <w:rFonts w:hint="eastAsia"/>
        </w:rPr>
        <w:t xml:space="preserve">以及启用</w:t>
      </w:r>
      <w:r>
        <w:t xml:space="preserve"> RLS </w:t>
      </w:r>
      <w:r>
        <w:rPr>
          <w:rFonts w:hint="eastAsia"/>
        </w:rPr>
        <w:t xml:space="preserve">的业务表判断当前</w:t>
      </w:r>
      <w:r>
        <w:t xml:space="preserve"> JWT </w:t>
      </w:r>
      <w:r>
        <w:rPr>
          <w:rFonts w:hint="eastAsia"/>
        </w:rPr>
        <w:t xml:space="preserve">声明是否允许读取或写入目标数据。这样处理后，权限控制就不再停留在“页面上看见了什么”，而是继续落到“数据库最终允不允许执行”这一层。</w:t>
      </w:r>
    </w:p>
    <w:bookmarkEnd w:id="125"/>
    <w:bookmarkStart w:id="126" w:name="页面与接口协同过程"/>
    <w:p>
      <w:pPr>
        <w:pStyle w:val="Heading3"/>
      </w:pPr>
      <w:r>
        <w:t xml:space="preserve">6.2.3 </w:t>
      </w:r>
      <w:r>
        <w:rPr>
          <w:rFonts w:hint="eastAsia"/>
        </w:rPr>
        <w:t xml:space="preserve">页面与接口协同过程</w:t>
      </w:r>
    </w:p>
    <w:p>
      <w:pPr>
        <w:pStyle w:val="FirstParagraph"/>
      </w:pPr>
      <w:r>
        <w:rPr>
          <w:rFonts w:hint="eastAsia"/>
        </w:rPr>
        <w:t xml:space="preserve">以员工管理页、流程配置页和本体关系工作台这三类页面为例，当前实现链路可以概括为以下步骤。第一，用户登录后，基座应用读取登录结果并刷新前端状态。第二，路由守卫根据当前角色判断该用户是否允许进入员工管理、流程配置或语义工作台等页面。第三，页面进入后，用户点击查询、新增、修改、发布等按钮时，前端仍会再做一次本地权限判断，避免把明显不合法的操作直接发到接口层。第四，请求通过</w:t>
      </w:r>
      <w:r>
        <w:t xml:space="preserve"> PostgREST </w:t>
      </w:r>
      <w:r>
        <w:rPr>
          <w:rFonts w:hint="eastAsia"/>
        </w:rPr>
        <w:t xml:space="preserve">进入数据库时，JWT</w:t>
      </w:r>
      <w:r>
        <w:t xml:space="preserve"> </w:t>
      </w:r>
      <w:r>
        <w:rPr>
          <w:rFonts w:hint="eastAsia"/>
        </w:rPr>
        <w:t xml:space="preserve">声明会被转入当前会话环境。第五，数据库侧的</w:t>
      </w:r>
      <w:r>
        <w:t xml:space="preserve"> RLS </w:t>
      </w:r>
      <w:r>
        <w:rPr>
          <w:rFonts w:hint="eastAsia"/>
        </w:rPr>
        <w:t xml:space="preserve">策略和函数内部校验根据角色、所属部门以及当前业务对象类型决定是否允许继续执行。第六，若校验失败，接口返回拒绝结果；若校验通过，请求才会继续进入对应表或业务函数。</w:t>
      </w:r>
    </w:p>
    <w:p>
      <w:pPr>
        <w:pStyle w:val="BodyText"/>
      </w:pPr>
      <w:r>
        <w:rPr>
          <w:rFonts w:hint="eastAsia"/>
        </w:rPr>
        <w:t xml:space="preserve">这种组织方式有两个实际作用。其一，前端用户能在页面层面较早收到“无权限访问”或“无权限操作”的反馈，不必等数据库异常后再倒推原因。其二，即使前端按钮显隐或路由保护出现漏洞，数据库层仍然可以用</w:t>
      </w:r>
      <w:r>
        <w:t xml:space="preserve"> RLS </w:t>
      </w:r>
      <w:r>
        <w:rPr>
          <w:rFonts w:hint="eastAsia"/>
        </w:rPr>
        <w:t xml:space="preserve">和函数校验兜底，避免越权访问真正落表。</w:t>
      </w:r>
    </w:p>
    <w:bookmarkEnd w:id="126"/>
    <w:bookmarkStart w:id="127" w:name="数据库侧权限落点"/>
    <w:p>
      <w:pPr>
        <w:pStyle w:val="Heading3"/>
      </w:pPr>
      <w:r>
        <w:t xml:space="preserve">6.2.4 </w:t>
      </w:r>
      <w:r>
        <w:rPr>
          <w:rFonts w:hint="eastAsia"/>
        </w:rPr>
        <w:t xml:space="preserve">数据库侧权限落点</w:t>
      </w:r>
    </w:p>
    <w:p>
      <w:pPr>
        <w:pStyle w:val="FirstParagraph"/>
      </w:pPr>
      <w:r>
        <w:rPr>
          <w:rFonts w:hint="eastAsia"/>
        </w:rPr>
        <w:t xml:space="preserve">数据库侧权限控制的关键不在“表有哪些字段”，而在“请求最终会落到哪些对象上”。当前项目中，权限判断主要落在三类对象上。第一类是启用</w:t>
      </w:r>
      <w:r>
        <w:t xml:space="preserve"> RLS </w:t>
      </w:r>
      <w:r>
        <w:rPr>
          <w:rFonts w:hint="eastAsia"/>
        </w:rPr>
        <w:t xml:space="preserve">的业务表和配置表，例如</w:t>
      </w:r>
      <w:r>
        <w:t xml:space="preserve"> </w:t>
      </w:r>
      <w:r>
        <w:rPr>
          <w:rStyle w:val="VerbatimChar"/>
        </w:rPr>
        <w:t xml:space="preserve">app_center.apps</w:t>
      </w:r>
      <w:r>
        <w:t xml:space="preserve">、</w:t>
      </w:r>
      <w:r>
        <w:rPr>
          <w:rStyle w:val="VerbatimChar"/>
        </w:rPr>
        <w:t xml:space="preserve">app_center.published_routes</w:t>
      </w:r>
      <w:r>
        <w:t xml:space="preserve">、</w:t>
      </w:r>
      <w:r>
        <w:rPr>
          <w:rStyle w:val="VerbatimChar"/>
        </w:rPr>
        <w:t xml:space="preserve">app_center.workflow_state_mappings</w:t>
      </w:r>
      <w:r>
        <w:t xml:space="preserve"> </w:t>
      </w:r>
      <w:r>
        <w:rPr>
          <w:rFonts w:hint="eastAsia"/>
        </w:rPr>
        <w:t xml:space="preserve">等，这些表会根据</w:t>
      </w:r>
      <w:r>
        <w:t xml:space="preserve"> JWT </w:t>
      </w:r>
      <w:r>
        <w:rPr>
          <w:rFonts w:hint="eastAsia"/>
        </w:rPr>
        <w:t xml:space="preserve">中的角色声明决定谁能查、谁能改。第二类是工作流运行相关表，如</w:t>
      </w:r>
      <w:r>
        <w:t xml:space="preserve"> </w:t>
      </w:r>
      <w:r>
        <w:rPr>
          <w:rStyle w:val="VerbatimChar"/>
        </w:rPr>
        <w:t xml:space="preserve">workflow.instances</w:t>
      </w:r>
      <w:r>
        <w:t xml:space="preserve"> </w:t>
      </w:r>
      <w:r>
        <w:rPr>
          <w:rFonts w:hint="eastAsia"/>
        </w:rPr>
        <w:t xml:space="preserve">和任务分派表，它们在写入和推进节点时不仅要看角色，还要看当前任务是否真的指派给该用户。第三类是数据库业务函数，本系统把一部分业务处理下沉到了</w:t>
      </w:r>
      <w:r>
        <w:t xml:space="preserve"> PostgreSQL </w:t>
      </w:r>
      <w:r>
        <w:rPr>
          <w:rFonts w:hint="eastAsia"/>
        </w:rPr>
        <w:t xml:space="preserve">函数中，因此函数内部也会结合当前会话身份判断当前用户是否允许执行相应动作。</w:t>
      </w:r>
    </w:p>
    <w:p>
      <w:pPr>
        <w:pStyle w:val="BodyText"/>
      </w:pPr>
      <w:r>
        <w:rPr>
          <w:rFonts w:hint="eastAsia"/>
        </w:rPr>
        <w:t xml:space="preserve">从实现角度看，这三类对象分别对应三类典型请求。查询类请求通常直接落在启用</w:t>
      </w:r>
      <w:r>
        <w:t xml:space="preserve"> RLS </w:t>
      </w:r>
      <w:r>
        <w:rPr>
          <w:rFonts w:hint="eastAsia"/>
        </w:rPr>
        <w:t xml:space="preserve">的表和视图上，新增/修改类请求更多落在</w:t>
      </w:r>
      <w:r>
        <w:t xml:space="preserve"> </w:t>
      </w:r>
      <w:r>
        <w:rPr>
          <w:rStyle w:val="VerbatimChar"/>
        </w:rPr>
        <w:t xml:space="preserve">rpc</w:t>
      </w:r>
      <w:r>
        <w:t xml:space="preserve"> </w:t>
      </w:r>
      <w:r>
        <w:rPr>
          <w:rFonts w:hint="eastAsia"/>
        </w:rPr>
        <w:t xml:space="preserve">形式暴露的数据库函数上，流程推进类请求则同时涉及流程函数和流程运行表。这样一来，“页面上的权限提示”“接口是否接受请求”“数据库最终是否落表”三件事就形成了闭环，而不是停留在单纯的菜单显隐控制上。</w:t>
      </w:r>
    </w:p>
    <w:p>
      <w:pPr>
        <w:pStyle w:val="BodyText"/>
      </w:pPr>
      <w:r>
        <w:rPr>
          <w:rFonts w:hint="eastAsia"/>
        </w:rPr>
        <w:t xml:space="preserve">换句话说，本设计在权限控制上采用的是“双层可见、底层裁决”的方式。页面层提供可感知的访问边界，数据库层提供不可绕过的数据边界。这样既适合微前端多子应用共享同一数据库的结构，也更符合南派食品这类企业对关键业务数据安全边界的要求。</w:t>
      </w:r>
    </w:p>
    <w:bookmarkEnd w:id="127"/>
    <w:bookmarkStart w:id="129" w:name="权限控制时序设计"/>
    <w:p>
      <w:pPr>
        <w:pStyle w:val="Heading3"/>
      </w:pPr>
      <w:r>
        <w:t xml:space="preserve">6.2.5 </w:t>
      </w:r>
      <w:r>
        <w:rPr>
          <w:rFonts w:hint="eastAsia"/>
        </w:rPr>
        <w:t xml:space="preserve">权限控制时序设计</w:t>
      </w:r>
    </w:p>
    <w:p>
      <w:pPr>
        <w:pStyle w:val="FirstParagraph"/>
      </w:pPr>
      <w:r>
        <w:rPr>
          <w:rFonts w:hint="eastAsia"/>
        </w:rPr>
        <w:t xml:space="preserve">为了更直观地说明权限链路，图6-4给出了从页面输入到数据库裁决的时序过程。图中重点展示了用户登录、前端路由判断、PostgREST</w:t>
      </w:r>
      <w:r>
        <w:t xml:space="preserve"> </w:t>
      </w:r>
      <w:r>
        <w:rPr>
          <w:rFonts w:hint="eastAsia"/>
        </w:rPr>
        <w:t xml:space="preserve">传递</w:t>
      </w:r>
      <w:r>
        <w:t xml:space="preserve"> </w:t>
      </w:r>
      <w:r>
        <w:rPr>
          <w:rFonts w:hint="eastAsia"/>
        </w:rPr>
        <w:t xml:space="preserve">JWT、数据库函数读取身份声明以及</w:t>
      </w:r>
      <w:r>
        <w:t xml:space="preserve"> </w:t>
      </w:r>
      <w:r>
        <w:rPr>
          <w:rFonts w:hint="eastAsia"/>
        </w:rPr>
        <w:t xml:space="preserve">RLS/函数校验最终决定是否返回结果的先后关系。通过这张图，可以把“没有传统后端类时，权限控制究竟在哪一层完成”这一问题表达得更清楚。</w:t>
      </w:r>
      <w:r>
        <w:br/>
      </w:r>
      <w:r>
        <w:rPr>
          <w:rFonts w:hint="eastAsia"/>
        </w:rPr>
        <w:t xml:space="preserve">见图6-4</w:t>
      </w:r>
      <w:r>
        <w:t xml:space="preserve"> </w:t>
      </w:r>
      <w:hyperlink r:id="rId128">
        <w:r>
          <w:rPr>
            <w:rStyle w:val="Hyperlink"/>
            <w:rFonts w:hint="eastAsia"/>
          </w:rPr>
          <w:t xml:space="preserve">图6-4_权限控制时序图.svg</w:t>
        </w:r>
      </w:hyperlink>
      <w:r>
        <w:t xml:space="preserve">。</w:t>
      </w:r>
    </w:p>
    <w:bookmarkEnd w:id="129"/>
    <w:bookmarkStart w:id="130" w:name="本节小结"/>
    <w:p>
      <w:pPr>
        <w:pStyle w:val="Heading3"/>
      </w:pPr>
      <w:r>
        <w:t xml:space="preserve">6.2.6 </w:t>
      </w:r>
      <w:r>
        <w:rPr>
          <w:rFonts w:hint="eastAsia"/>
        </w:rPr>
        <w:t xml:space="preserve">本节小结</w:t>
      </w:r>
    </w:p>
    <w:p>
      <w:pPr>
        <w:pStyle w:val="FirstParagraph"/>
      </w:pPr>
      <w:r>
        <w:rPr>
          <w:rFonts w:hint="eastAsia"/>
        </w:rPr>
        <w:t xml:space="preserve">本节说明的不是“权限表怎么建”，而是“权限如何真正跑起来”。从前端状态、路由守卫、按钮控制，到</w:t>
      </w:r>
      <w:r>
        <w:t xml:space="preserve"> PostgREST </w:t>
      </w:r>
      <w:r>
        <w:rPr>
          <w:rFonts w:hint="eastAsia"/>
        </w:rPr>
        <w:t xml:space="preserve">传递身份，再到数据库函数和</w:t>
      </w:r>
      <w:r>
        <w:t xml:space="preserve"> RLS </w:t>
      </w:r>
      <w:r>
        <w:rPr>
          <w:rFonts w:hint="eastAsia"/>
        </w:rPr>
        <w:t xml:space="preserve">做最终裁决，本系统已经形成了较完整的权限控制链路。这也是本设计在没有传统后端</w:t>
      </w:r>
      <w:r>
        <w:t xml:space="preserve"> </w:t>
      </w:r>
      <w:r>
        <w:rPr>
          <w:rStyle w:val="VerbatimChar"/>
        </w:rPr>
        <w:t xml:space="preserve">controller/service</w:t>
      </w:r>
      <w:r>
        <w:t xml:space="preserve"> </w:t>
      </w:r>
      <w:r>
        <w:rPr>
          <w:rFonts w:hint="eastAsia"/>
        </w:rPr>
        <w:t xml:space="preserve">分层条件下，仍然能够保证访问边界清晰和数据边界稳定的关键原因。</w:t>
      </w:r>
    </w:p>
    <w:bookmarkEnd w:id="130"/>
    <w:bookmarkEnd w:id="131"/>
    <w:bookmarkStart w:id="141" w:name="库存处理链路详细设计"/>
    <w:p>
      <w:pPr>
        <w:pStyle w:val="Heading2"/>
      </w:pPr>
      <w:r>
        <w:t xml:space="preserve">6.3 </w:t>
      </w:r>
      <w:r>
        <w:rPr>
          <w:rFonts w:hint="eastAsia"/>
        </w:rPr>
        <w:t xml:space="preserve">库存处理链路详细设计</w:t>
      </w:r>
    </w:p>
    <w:bookmarkStart w:id="132" w:name="设计目标-1"/>
    <w:p>
      <w:pPr>
        <w:pStyle w:val="Heading3"/>
      </w:pPr>
      <w:r>
        <w:t xml:space="preserve">6.3.1 </w:t>
      </w:r>
      <w:r>
        <w:rPr>
          <w:rFonts w:hint="eastAsia"/>
        </w:rPr>
        <w:t xml:space="preserve">设计目标</w:t>
      </w:r>
    </w:p>
    <w:p>
      <w:pPr>
        <w:pStyle w:val="FirstParagraph"/>
      </w:pPr>
      <w:r>
        <w:rPr>
          <w:rFonts w:hint="eastAsia"/>
        </w:rPr>
        <w:t xml:space="preserve">本节不再重复“仓储为什么重要”这一类需求分析内容，而是直接说明库存处理链路在本系统中怎样被实现出来。对</w:t>
      </w:r>
      <w:r>
        <w:t xml:space="preserve"> EISCore </w:t>
      </w:r>
      <w:r>
        <w:rPr>
          <w:rFonts w:hint="eastAsia"/>
        </w:rPr>
        <w:t xml:space="preserve">而言，库存处理的设计目标主要体现在四个方面：第一，页面录入的数据怎样进入统一的事务处理链；第二，批次号在规则生成和人工输入两种模式下怎样被校验；第三，库存批次和库存流水怎样在同一事务中保持一致；第四，库存单据与流程状态怎样形成可追踪关系。</w:t>
      </w:r>
    </w:p>
    <w:bookmarkEnd w:id="132"/>
    <w:bookmarkStart w:id="133" w:name="页面输入与接口入口"/>
    <w:p>
      <w:pPr>
        <w:pStyle w:val="Heading3"/>
      </w:pPr>
      <w:r>
        <w:t xml:space="preserve">6.3.2 </w:t>
      </w:r>
      <w:r>
        <w:rPr>
          <w:rFonts w:hint="eastAsia"/>
        </w:rPr>
        <w:t xml:space="preserve">页面输入与接口入口</w:t>
      </w:r>
    </w:p>
    <w:p>
      <w:pPr>
        <w:pStyle w:val="FirstParagraph"/>
      </w:pPr>
      <w:r>
        <w:rPr>
          <w:rFonts w:hint="eastAsia"/>
        </w:rPr>
        <w:t xml:space="preserve">入库页面和出库页面都采用“列表</w:t>
      </w:r>
      <w:r>
        <w:t xml:space="preserve"> + </w:t>
      </w:r>
      <w:r>
        <w:rPr>
          <w:rFonts w:hint="eastAsia"/>
        </w:rPr>
        <w:t xml:space="preserve">抽屉表单”的结构。列表负责展示当前草稿、库存分布或历史记录，抽屉表单负责收集真正提交给数据库函数的参数。以入库页面为例，用户会输入物料、仓库节点、批次规则、批次号、数量、单位和生产日期等信息；若启用规则生成，前端会先请求批次号生成能力，再把整理后的参数提交给入库接口。以出库页面为例，前端会先根据物料和仓位读取当前可选批次，再把用户选择的批次号、数量和关联单据信息提交给出库接口。</w:t>
      </w:r>
    </w:p>
    <w:p>
      <w:pPr>
        <w:pStyle w:val="BodyText"/>
      </w:pPr>
      <w:r>
        <w:rPr>
          <w:rFonts w:hint="eastAsia"/>
        </w:rPr>
        <w:t xml:space="preserve">当前项目中，入库相关页面的核心入口最终会汇总到</w:t>
      </w:r>
      <w:r>
        <w:t xml:space="preserve"> </w:t>
      </w:r>
      <w:r>
        <w:rPr>
          <w:rStyle w:val="VerbatimChar"/>
        </w:rPr>
        <w:t xml:space="preserve">scm.generate_batch_no</w:t>
      </w:r>
      <w:r>
        <w:t xml:space="preserve"> </w:t>
      </w:r>
      <w:r>
        <w:rPr>
          <w:rFonts w:hint="eastAsia"/>
        </w:rPr>
        <w:t xml:space="preserve">与</w:t>
      </w:r>
      <w:r>
        <w:t xml:space="preserve"> </w:t>
      </w:r>
      <w:r>
        <w:rPr>
          <w:rStyle w:val="VerbatimChar"/>
        </w:rPr>
        <w:t xml:space="preserve">scm.stock_in</w:t>
      </w:r>
      <w:r>
        <w:t xml:space="preserve"> </w:t>
      </w:r>
      <w:r>
        <w:rPr>
          <w:rFonts w:hint="eastAsia"/>
        </w:rPr>
        <w:t xml:space="preserve">两个数据库函数，出库相关页面的核心入口则汇总到</w:t>
      </w:r>
      <w:r>
        <w:t xml:space="preserve"> </w:t>
      </w:r>
      <w:r>
        <w:rPr>
          <w:rStyle w:val="VerbatimChar"/>
        </w:rPr>
        <w:t xml:space="preserve">scm.stock_out</w:t>
      </w:r>
      <w:r>
        <w:rPr>
          <w:rFonts w:hint="eastAsia"/>
        </w:rPr>
        <w:t xml:space="preserve">。也就是说，前端页面并不会先把参数送到一层自定义后端服务再转交数据库，而是直接把“批次号如何生成”“库存怎样增减”“流水怎样写入”这几步交给数据库函数统一处理。这正是本系统在库存详细设计上最重要的实现特点。</w:t>
      </w:r>
    </w:p>
    <w:bookmarkEnd w:id="133"/>
    <w:bookmarkStart w:id="134" w:name="入库处理链路"/>
    <w:p>
      <w:pPr>
        <w:pStyle w:val="Heading3"/>
      </w:pPr>
      <w:r>
        <w:t xml:space="preserve">6.3.3 </w:t>
      </w:r>
      <w:r>
        <w:rPr>
          <w:rFonts w:hint="eastAsia"/>
        </w:rPr>
        <w:t xml:space="preserve">入库处理链路</w:t>
      </w:r>
    </w:p>
    <w:p>
      <w:pPr>
        <w:pStyle w:val="FirstParagraph"/>
      </w:pPr>
      <w:r>
        <w:rPr>
          <w:rFonts w:hint="eastAsia"/>
        </w:rPr>
        <w:t xml:space="preserve">入库链路的核心入口是数据库函数</w:t>
      </w:r>
      <w:r>
        <w:t xml:space="preserve"> </w:t>
      </w:r>
      <w:r>
        <w:rPr>
          <w:rStyle w:val="VerbatimChar"/>
        </w:rPr>
        <w:t xml:space="preserve">scm.stock_in</w:t>
      </w:r>
      <w:r>
        <w:rPr>
          <w:rFonts w:hint="eastAsia"/>
        </w:rPr>
        <w:t xml:space="preserve">。当前实现过程可以概括为：前端先整理物料、仓库、批次、数量、单位和备注等参数；若选择按规则生成批次，则先调用</w:t>
      </w:r>
      <w:r>
        <w:t xml:space="preserve"> </w:t>
      </w:r>
      <w:r>
        <w:rPr>
          <w:rStyle w:val="VerbatimChar"/>
        </w:rPr>
        <w:t xml:space="preserve">scm.generate_batch_no</w:t>
      </w:r>
      <w:r>
        <w:t xml:space="preserve"> </w:t>
      </w:r>
      <w:r>
        <w:rPr>
          <w:rFonts w:hint="eastAsia"/>
        </w:rPr>
        <w:t xml:space="preserve">得到可用批次号；随后把完整参数送入</w:t>
      </w:r>
      <w:r>
        <w:t xml:space="preserve"> </w:t>
      </w:r>
      <w:r>
        <w:rPr>
          <w:rStyle w:val="VerbatimChar"/>
        </w:rPr>
        <w:t xml:space="preserve">scm.stock_in</w:t>
      </w:r>
      <w:r>
        <w:rPr>
          <w:rFonts w:hint="eastAsia"/>
        </w:rPr>
        <w:t xml:space="preserve">；函数在事务内先检查该批次是否已存在于目标仓位，若不存在则创建新的</w:t>
      </w:r>
      <w:r>
        <w:t xml:space="preserve"> </w:t>
      </w:r>
      <w:r>
        <w:rPr>
          <w:rStyle w:val="VerbatimChar"/>
        </w:rPr>
        <w:t xml:space="preserve">scm.inventory_batches</w:t>
      </w:r>
      <w:r>
        <w:t xml:space="preserve"> </w:t>
      </w:r>
      <w:r>
        <w:rPr>
          <w:rFonts w:hint="eastAsia"/>
        </w:rPr>
        <w:t xml:space="preserve">记录，若已存在则累加可用库存；紧接着写入</w:t>
      </w:r>
      <w:r>
        <w:t xml:space="preserve"> </w:t>
      </w:r>
      <w:r>
        <w:rPr>
          <w:rStyle w:val="VerbatimChar"/>
        </w:rPr>
        <w:t xml:space="preserve">scm.inventory_transactions</w:t>
      </w:r>
      <w:r>
        <w:rPr>
          <w:rFonts w:hint="eastAsia"/>
        </w:rPr>
        <w:t xml:space="preserve">；最后把批次记录编号、更新后的数量和执行结果返回前端。</w:t>
      </w:r>
    </w:p>
    <w:p>
      <w:pPr>
        <w:pStyle w:val="BodyText"/>
      </w:pPr>
      <w:r>
        <w:rPr>
          <w:rFonts w:hint="eastAsia"/>
        </w:rPr>
        <w:t xml:space="preserve">这一链路真正要说明的是：本系统并没有把“更新批次表”和“写流水表”拆成前端各自调用的两个动作，而是统一由数据库函数在一次事务中完成。这样可以避免“批次表已经更新但流水没落下”或“流水写入了但库存状态没同步”这类仓储场景下最难追查的问题。对详细设计而言，这里要表达的重点不是功能清单，而是页面参数如何真正变成批次状态和流水记录。</w:t>
      </w:r>
    </w:p>
    <w:bookmarkEnd w:id="134"/>
    <w:bookmarkStart w:id="135" w:name="出库处理链路"/>
    <w:p>
      <w:pPr>
        <w:pStyle w:val="Heading3"/>
      </w:pPr>
      <w:r>
        <w:t xml:space="preserve">6.3.4 </w:t>
      </w:r>
      <w:r>
        <w:rPr>
          <w:rFonts w:hint="eastAsia"/>
        </w:rPr>
        <w:t xml:space="preserve">出库处理链路</w:t>
      </w:r>
    </w:p>
    <w:p>
      <w:pPr>
        <w:pStyle w:val="FirstParagraph"/>
      </w:pPr>
      <w:r>
        <w:rPr>
          <w:rFonts w:hint="eastAsia"/>
        </w:rPr>
        <w:t xml:space="preserve">出库链路的入口是数据库函数</w:t>
      </w:r>
      <w:r>
        <w:t xml:space="preserve"> </w:t>
      </w:r>
      <w:r>
        <w:rPr>
          <w:rStyle w:val="VerbatimChar"/>
        </w:rPr>
        <w:t xml:space="preserve">scm.stock_out</w:t>
      </w:r>
      <w:r>
        <w:rPr>
          <w:rFonts w:hint="eastAsia"/>
        </w:rPr>
        <w:t xml:space="preserve">。用户在页面上选定物料、仓位、批次和出库数量之后，系统并不会只做表面校验，而是把参数送入数据库侧完成真正的库存判断。函数进入事务后，会先锁定相应批次记录并读取当前可用库存；若库存不足、批次失效或不满足业务状态约束，则直接返回异常；若条件满足，则扣减</w:t>
      </w:r>
      <w:r>
        <w:t xml:space="preserve"> </w:t>
      </w:r>
      <w:r>
        <w:rPr>
          <w:rStyle w:val="VerbatimChar"/>
        </w:rPr>
        <w:t xml:space="preserve">scm.inventory_batches</w:t>
      </w:r>
      <w:r>
        <w:t xml:space="preserve"> </w:t>
      </w:r>
      <w:r>
        <w:rPr>
          <w:rFonts w:hint="eastAsia"/>
        </w:rPr>
        <w:t xml:space="preserve">中的可用数量，并同步写入</w:t>
      </w:r>
      <w:r>
        <w:t xml:space="preserve"> </w:t>
      </w:r>
      <w:r>
        <w:rPr>
          <w:rStyle w:val="VerbatimChar"/>
        </w:rPr>
        <w:t xml:space="preserve">scm.inventory_transactions</w:t>
      </w:r>
      <w:r>
        <w:t xml:space="preserve"> </w:t>
      </w:r>
      <w:r>
        <w:rPr>
          <w:rFonts w:hint="eastAsia"/>
        </w:rPr>
        <w:t xml:space="preserve">和关联单据字段，最后把出库结果返回页面。</w:t>
      </w:r>
    </w:p>
    <w:p>
      <w:pPr>
        <w:pStyle w:val="BodyText"/>
      </w:pPr>
      <w:r>
        <w:rPr>
          <w:rFonts w:hint="eastAsia"/>
        </w:rPr>
        <w:t xml:space="preserve">从详细设计角度看，出库最关键的不是“页面有几个输入框”，而是“真正决定能否出库的是数据库事务内的那次校验”。因此，本节所体现的实现重点是前端收集参数、PostgREST</w:t>
      </w:r>
      <w:r>
        <w:t xml:space="preserve"> </w:t>
      </w:r>
      <w:r>
        <w:rPr>
          <w:rFonts w:hint="eastAsia"/>
        </w:rPr>
        <w:t xml:space="preserve">传入函数、数据库函数做事务校验、库存状态和流水记录一起落表这一整条链路，而不是再次重复仓储需求本身。</w:t>
      </w:r>
    </w:p>
    <w:bookmarkEnd w:id="135"/>
    <w:bookmarkStart w:id="136" w:name="批次规则与流程绑定"/>
    <w:p>
      <w:pPr>
        <w:pStyle w:val="Heading3"/>
      </w:pPr>
      <w:r>
        <w:t xml:space="preserve">6.3.5 </w:t>
      </w:r>
      <w:r>
        <w:rPr>
          <w:rFonts w:hint="eastAsia"/>
        </w:rPr>
        <w:t xml:space="preserve">批次规则与流程绑定</w:t>
      </w:r>
    </w:p>
    <w:p>
      <w:pPr>
        <w:pStyle w:val="FirstParagraph"/>
      </w:pPr>
      <w:r>
        <w:rPr>
          <w:rFonts w:hint="eastAsia"/>
        </w:rPr>
        <w:t xml:space="preserve">批次号规则和流程状态在当前设计中并不是两个孤立问题。批次号一方面用于支持库存台账和保质期追溯，另一方面也会成为流程和单据回查时的重要线索。因此，在入库和出库链路中，系统既支持根据规则自动生成批次号，也允许在特殊场景下使用人工指定批次号，但无论采用哪种方式，最终都要经过唯一性和可用性校验。</w:t>
      </w:r>
    </w:p>
    <w:p>
      <w:pPr>
        <w:pStyle w:val="BodyText"/>
      </w:pPr>
      <w:r>
        <w:rPr>
          <w:rFonts w:hint="eastAsia"/>
        </w:rPr>
        <w:t xml:space="preserve">另外，库存单据并非只停留在“库存变化”这一层。当前设计还保留了库存单据与流程实例之间的关联入口，使后续审批流或状态写回能够追溯到具体批次、具体流水和具体页面操作。这也是库存设计能继续向审批协同延伸的关键基础。</w:t>
      </w:r>
    </w:p>
    <w:bookmarkEnd w:id="136"/>
    <w:bookmarkStart w:id="139" w:name="库存时序设计"/>
    <w:p>
      <w:pPr>
        <w:pStyle w:val="Heading3"/>
      </w:pPr>
      <w:r>
        <w:t xml:space="preserve">6.3.6 </w:t>
      </w:r>
      <w:r>
        <w:rPr>
          <w:rFonts w:hint="eastAsia"/>
        </w:rPr>
        <w:t xml:space="preserve">库存时序设计</w:t>
      </w:r>
    </w:p>
    <w:p>
      <w:pPr>
        <w:pStyle w:val="FirstParagraph"/>
      </w:pPr>
      <w:r>
        <w:rPr>
          <w:rFonts w:hint="eastAsia"/>
        </w:rPr>
        <w:t xml:space="preserve">为了把页面、接口、数据库函数和核心表之间的关系表达清楚，本设计分别使用图6-1和图6-2展示入库与出库的时序过程。图6-1强调参数进入</w:t>
      </w:r>
      <w:r>
        <w:t xml:space="preserve"> </w:t>
      </w:r>
      <w:r>
        <w:rPr>
          <w:rStyle w:val="VerbatimChar"/>
        </w:rPr>
        <w:t xml:space="preserve">scm.stock_in</w:t>
      </w:r>
      <w:r>
        <w:t xml:space="preserve"> </w:t>
      </w:r>
      <w:r>
        <w:rPr>
          <w:rFonts w:hint="eastAsia"/>
        </w:rPr>
        <w:t xml:space="preserve">后如何同时更新库存批次和库存流水；图6-2强调出库时如何先完成库存校验，再执行数量扣减和流水写入。</w:t>
      </w:r>
      <w:r>
        <w:br/>
      </w:r>
      <w:r>
        <w:rPr>
          <w:rFonts w:hint="eastAsia"/>
        </w:rPr>
        <w:t xml:space="preserve">见图6-1</w:t>
      </w:r>
      <w:r>
        <w:t xml:space="preserve"> </w:t>
      </w:r>
      <w:hyperlink r:id="rId137">
        <w:r>
          <w:rPr>
            <w:rStyle w:val="Hyperlink"/>
            <w:rFonts w:hint="eastAsia"/>
          </w:rPr>
          <w:t xml:space="preserve">图6-1_库存入库时序图.svg</w:t>
        </w:r>
      </w:hyperlink>
      <w:r>
        <w:t xml:space="preserve">。</w:t>
      </w:r>
      <w:r>
        <w:br/>
      </w:r>
      <w:r>
        <w:rPr>
          <w:rFonts w:hint="eastAsia"/>
        </w:rPr>
        <w:t xml:space="preserve">见图6-2</w:t>
      </w:r>
      <w:r>
        <w:t xml:space="preserve"> </w:t>
      </w:r>
      <w:hyperlink r:id="rId138">
        <w:r>
          <w:rPr>
            <w:rStyle w:val="Hyperlink"/>
            <w:rFonts w:hint="eastAsia"/>
          </w:rPr>
          <w:t xml:space="preserve">图6-2_库存出库时序图.svg</w:t>
        </w:r>
      </w:hyperlink>
      <w:r>
        <w:t xml:space="preserve">。</w:t>
      </w:r>
    </w:p>
    <w:bookmarkEnd w:id="139"/>
    <w:bookmarkStart w:id="140" w:name="本节小结-1"/>
    <w:p>
      <w:pPr>
        <w:pStyle w:val="Heading3"/>
      </w:pPr>
      <w:r>
        <w:t xml:space="preserve">6.3.7 </w:t>
      </w:r>
      <w:r>
        <w:rPr>
          <w:rFonts w:hint="eastAsia"/>
        </w:rPr>
        <w:t xml:space="preserve">本节小结</w:t>
      </w:r>
    </w:p>
    <w:p>
      <w:pPr>
        <w:pStyle w:val="FirstParagraph"/>
      </w:pPr>
      <w:r>
        <w:rPr>
          <w:rFonts w:hint="eastAsia"/>
        </w:rPr>
        <w:t xml:space="preserve">库存入库与出库的详细设计，本质上是在解释“页面参数如何通过</w:t>
      </w:r>
      <w:r>
        <w:t xml:space="preserve"> PostgREST </w:t>
      </w:r>
      <w:r>
        <w:rPr>
          <w:rFonts w:hint="eastAsia"/>
        </w:rPr>
        <w:t xml:space="preserve">进入数据库函数，并最终把批次状态、库存数量和流水记录一起更新”。相比传统在应用层分散处理库存逻辑的方式，本设计把关键校验和事务一致性收到底层函数中完成，更符合数据库中心架构下的实现特点，也更适合南派食品这种批次和追溯要求都较高的业务环境。</w:t>
      </w:r>
    </w:p>
    <w:bookmarkEnd w:id="140"/>
    <w:bookmarkEnd w:id="141"/>
    <w:bookmarkStart w:id="150" w:name="流程审批与状态映射详细设计"/>
    <w:p>
      <w:pPr>
        <w:pStyle w:val="Heading2"/>
      </w:pPr>
      <w:r>
        <w:t xml:space="preserve">6.4 </w:t>
      </w:r>
      <w:r>
        <w:rPr>
          <w:rFonts w:hint="eastAsia"/>
        </w:rPr>
        <w:t xml:space="preserve">流程审批与状态映射详细设计</w:t>
      </w:r>
    </w:p>
    <w:bookmarkStart w:id="142"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42"/>
    <w:bookmarkStart w:id="143"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1"/>
        </w:numPr>
      </w:pPr>
      <w:r>
        <w:rPr>
          <w:rStyle w:val="VerbatimChar"/>
        </w:rPr>
        <w:t xml:space="preserve">workflow.definitions</w:t>
      </w:r>
      <w:r>
        <w:rPr>
          <w:rFonts w:hint="eastAsia"/>
        </w:rPr>
        <w:t xml:space="preserve">：保存流程定义信息；</w:t>
      </w:r>
    </w:p>
    <w:p>
      <w:pPr>
        <w:pStyle w:val="Compact"/>
        <w:numPr>
          <w:ilvl w:val="0"/>
          <w:numId w:val="1001"/>
        </w:numPr>
      </w:pPr>
      <w:r>
        <w:rPr>
          <w:rStyle w:val="VerbatimChar"/>
        </w:rPr>
        <w:t xml:space="preserve">workflow.instances</w:t>
      </w:r>
      <w:r>
        <w:rPr>
          <w:rFonts w:hint="eastAsia"/>
        </w:rPr>
        <w:t xml:space="preserve">：保存流程实例运行状态；</w:t>
      </w:r>
    </w:p>
    <w:p>
      <w:pPr>
        <w:pStyle w:val="Compact"/>
        <w:numPr>
          <w:ilvl w:val="0"/>
          <w:numId w:val="1001"/>
        </w:numPr>
      </w:pPr>
      <w:r>
        <w:rPr>
          <w:rStyle w:val="VerbatimChar"/>
        </w:rPr>
        <w:t xml:space="preserve">workflow.task_assignments</w:t>
      </w:r>
      <w:r>
        <w:rPr>
          <w:rFonts w:hint="eastAsia"/>
        </w:rPr>
        <w:t xml:space="preserve">：保存任务节点候选角色与候选人；</w:t>
      </w:r>
    </w:p>
    <w:p>
      <w:pPr>
        <w:pStyle w:val="Compact"/>
        <w:numPr>
          <w:ilvl w:val="0"/>
          <w:numId w:val="1001"/>
        </w:numPr>
      </w:pPr>
      <w:r>
        <w:rPr>
          <w:rStyle w:val="VerbatimChar"/>
        </w:rPr>
        <w:t xml:space="preserve">workflow.instance_events</w:t>
      </w:r>
      <w:r>
        <w:rPr>
          <w:rFonts w:hint="eastAsia"/>
        </w:rPr>
        <w:t xml:space="preserve">：保存流程事件；</w:t>
      </w:r>
    </w:p>
    <w:p>
      <w:pPr>
        <w:pStyle w:val="Compact"/>
        <w:numPr>
          <w:ilvl w:val="0"/>
          <w:numId w:val="1001"/>
        </w:numPr>
      </w:pPr>
      <w:r>
        <w:rPr>
          <w:rStyle w:val="VerbatimChar"/>
        </w:rPr>
        <w:t xml:space="preserve">workflow.task_approvals</w:t>
      </w:r>
      <w:r>
        <w:rPr>
          <w:rFonts w:hint="eastAsia"/>
        </w:rPr>
        <w:t xml:space="preserve">：保存审批意见与会签记录；</w:t>
      </w:r>
    </w:p>
    <w:p>
      <w:pPr>
        <w:pStyle w:val="Compact"/>
        <w:numPr>
          <w:ilvl w:val="0"/>
          <w:numId w:val="1001"/>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43"/>
    <w:bookmarkStart w:id="144"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44"/>
    <w:bookmarkStart w:id="145"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p>
      <w:pPr>
        <w:pStyle w:val="BodyText"/>
      </w:pPr>
      <w:r>
        <w:rPr>
          <w:rFonts w:hint="eastAsia"/>
        </w:rPr>
        <w:t xml:space="preserve">表6-4用于说明流程实例从业务页面发起后，数据库侧如何根据流程定义、业务主键和初始任务节点生成实例记录。该表强调的是启动函数在运行链路中的职责，而不是单独重复流程定义表的结构。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p>
      <w:pPr>
        <w:pStyle w:val="BodyText"/>
      </w:pPr>
      <w:r>
        <w:rPr>
          <w:rFonts w:hint="eastAsia"/>
        </w:rPr>
        <w:t xml:space="preserve">表6-5用于说明流程推进阶段的权限判断入口。其重点在于解释“当前审批人是否真的具备执行资格”这一判断如何在数据库侧完成，并与任务分派和</w:t>
      </w:r>
      <w:r>
        <w:t xml:space="preserve"> JWT </w:t>
      </w:r>
      <w:r>
        <w:rPr>
          <w:rFonts w:hint="eastAsia"/>
        </w:rPr>
        <w:t xml:space="preserve">声明保持一致。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45"/>
    <w:bookmarkStart w:id="146"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46"/>
    <w:bookmarkStart w:id="148"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流程模块虽然也没有传统的流程服务类和审批服务类，但其运行链路依然可以通过时序图清楚表达。本设计将其拆解为“审批页面或流程配置页面、PostgREST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r>
        <w:t xml:space="preserve"> </w:t>
      </w:r>
      <w:hyperlink r:id="rId147">
        <w:r>
          <w:rPr>
            <w:rStyle w:val="Hyperlink"/>
            <w:rFonts w:hint="eastAsia"/>
          </w:rPr>
          <w:t xml:space="preserve">图6-3_流程启动与状态写回时序图.svg</w:t>
        </w:r>
      </w:hyperlink>
      <w:r>
        <w:t xml:space="preserve">。</w:t>
      </w:r>
    </w:p>
    <w:bookmarkEnd w:id="148"/>
    <w:bookmarkStart w:id="149"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49"/>
    <w:bookmarkEnd w:id="150"/>
    <w:bookmarkStart w:id="157" w:name="轻量化语义模块详细设计"/>
    <w:p>
      <w:pPr>
        <w:pStyle w:val="Heading2"/>
      </w:pPr>
      <w:r>
        <w:t xml:space="preserve">6.5 </w:t>
      </w:r>
      <w:r>
        <w:rPr>
          <w:rFonts w:hint="eastAsia"/>
        </w:rPr>
        <w:t xml:space="preserve">轻量化语义模块详细设计</w:t>
      </w:r>
    </w:p>
    <w:bookmarkStart w:id="151"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详细设计目标，不是抽象讨论“什么是本体”，而是说明系统当前怎样把表级语义、列级语义和关系语义真正组织起来，并在工作台、应用配置和对象解释中发挥作用。与传统只把字段说明写在文档里的做法不同，本系统希望把一部分可解释信息直接组织进运行环境，使后续数据应用配置、流程对象解释和受控工具调用拥有统一的语义基础。换句话说，本节不是写一个通用语义模块模板，而是解释当前系统里这套语义支撑是如何被做出来、又是如何参与页面与工具链联动的。</w:t>
      </w:r>
    </w:p>
    <w:p>
      <w:pPr>
        <w:pStyle w:val="BodyText"/>
      </w:pPr>
      <w:r>
        <w:rPr>
          <w:rFonts w:hint="eastAsia"/>
        </w:rPr>
        <w:t xml:space="preserve">因此，本节的重点不是泛泛说明“语义增强有什么意义”，而是回答三个更具体的问题：第一，哪些语义数据已经在当前数据库中被组织起来；第二，本体关系工作台怎样把这些数据取出来并展示；第三，应用中心、FlashBuilder</w:t>
      </w:r>
      <w:r>
        <w:t xml:space="preserve"> </w:t>
      </w:r>
      <w:r>
        <w:rPr>
          <w:rFonts w:hint="eastAsia"/>
        </w:rPr>
        <w:t xml:space="preserve">与</w:t>
      </w:r>
      <w:r>
        <w:t xml:space="preserve"> Agent Runtime </w:t>
      </w:r>
      <w:r>
        <w:rPr>
          <w:rFonts w:hint="eastAsia"/>
        </w:rPr>
        <w:t xml:space="preserve">在当前实现中怎样使用这些语义结果。</w:t>
      </w:r>
    </w:p>
    <w:bookmarkEnd w:id="151"/>
    <w:bookmarkStart w:id="152" w:name="模块定位"/>
    <w:p>
      <w:pPr>
        <w:pStyle w:val="Heading3"/>
      </w:pPr>
      <w:r>
        <w:t xml:space="preserve">6.5.2 </w:t>
      </w:r>
      <w:r>
        <w:rPr>
          <w:rFonts w:hint="eastAsia"/>
        </w:rPr>
        <w:t xml:space="preserve">模块定位</w:t>
      </w:r>
    </w:p>
    <w:p>
      <w:pPr>
        <w:pStyle w:val="FirstParagraph"/>
      </w:pPr>
      <w:r>
        <w:rPr>
          <w:rFonts w:hint="eastAsia"/>
        </w:rPr>
        <w:t xml:space="preserve">从整体位置看，轻量化语义模块处于数据支撑层和应用中心之间。它一端依赖数据库中的表结构、字段和关系数据，另一端又为应用中心、流程对象和语义工作台提供可解释信息。因此，这一模块不是独立业务系统，而是一个“解释层”和“治理层”组件。没有它，系统依然可以完成基础</w:t>
      </w:r>
      <w:r>
        <w:t xml:space="preserve"> CRUD </w:t>
      </w:r>
      <w:r>
        <w:rPr>
          <w:rFonts w:hint="eastAsia"/>
        </w:rPr>
        <w:t xml:space="preserve">和流程推进；有了它，动态应用配置、对象识别和字段解释会更清楚，也更便于后续扩展。</w:t>
      </w:r>
    </w:p>
    <w:bookmarkEnd w:id="152"/>
    <w:bookmarkStart w:id="153" w:name="本体关系工作台实现"/>
    <w:p>
      <w:pPr>
        <w:pStyle w:val="Heading3"/>
      </w:pPr>
      <w:r>
        <w:t xml:space="preserve">6.5.3 </w:t>
      </w:r>
      <w:r>
        <w:rPr>
          <w:rFonts w:hint="eastAsia"/>
        </w:rPr>
        <w:t xml:space="preserve">本体关系工作台实现</w:t>
      </w:r>
    </w:p>
    <w:p>
      <w:pPr>
        <w:pStyle w:val="FirstParagraph"/>
      </w:pPr>
      <w:r>
        <w:rPr>
          <w:rFonts w:hint="eastAsia"/>
        </w:rPr>
        <w:t xml:space="preserve">本体关系工作台是轻量化语义模块最直观的前端载体。页面的核心任务不是直接修改业务数据，而是读取语义对象、关系描述和字段解释结果，并把这些内容以关系图或说明面板的形式展示出来。用户进入工作台后，页面先根据当前对象类型和查询条件请求语义数据，再把返回结果组织成节点、边和属性说明。也就是说，工作台承担的是“解释”和“查看”职责，而不是把复杂推理过程放在前端执行。</w:t>
      </w:r>
    </w:p>
    <w:p>
      <w:pPr>
        <w:pStyle w:val="BodyText"/>
      </w:pPr>
      <w:r>
        <w:rPr>
          <w:rFonts w:hint="eastAsia"/>
        </w:rPr>
        <w:t xml:space="preserve">结合当前实现，工作台的处理过程可以描述为：页面先读取应用中心和语义配置中已经登记的对象类型，再向数据库侧查询对应的表级语义、列级语义和关系语义结果；返回前端后，页面把这些结果拆成统计面板、关系节点和字段说明三个视图区域。用户在页面中切换对象或筛选关系时，系统并不会即时进行复杂推理，而是重新组合已存在的语义数据并刷新显示。因此，本体关系工作台体现的不是“本体引擎有多复杂”，而是“当前系统如何把现有语义数据组织成可读、可解释的工作台页面”。</w:t>
      </w:r>
    </w:p>
    <w:bookmarkEnd w:id="153"/>
    <w:bookmarkStart w:id="154" w:name="语义数据组织方式"/>
    <w:p>
      <w:pPr>
        <w:pStyle w:val="Heading3"/>
      </w:pPr>
      <w:r>
        <w:t xml:space="preserve">6.5.4 </w:t>
      </w:r>
      <w:r>
        <w:rPr>
          <w:rFonts w:hint="eastAsia"/>
        </w:rPr>
        <w:t xml:space="preserve">语义数据组织方式</w:t>
      </w:r>
    </w:p>
    <w:p>
      <w:pPr>
        <w:pStyle w:val="FirstParagraph"/>
      </w:pPr>
      <w:r>
        <w:rPr>
          <w:rFonts w:hint="eastAsia"/>
        </w:rPr>
        <w:t xml:space="preserve">当前语义模块的数据组织方式主要围绕三类信息展开。第一类是表级语义，用来说明某张表在业务上表示什么对象、与哪个模块相关、主要承担什么职责。第二类是列级语义，用来解释字段含义、字段用途以及它和业务规则之间的关系。第三类是关系语义，用来说明对象之间的主从、映射、依赖和流程关联关系。</w:t>
      </w:r>
    </w:p>
    <w:p>
      <w:pPr>
        <w:pStyle w:val="BodyText"/>
      </w:pPr>
      <w:r>
        <w:rPr>
          <w:rFonts w:hint="eastAsia"/>
        </w:rPr>
        <w:t xml:space="preserve">这些语义信息并不是单独脱离数据库而存在，而是围绕</w:t>
      </w:r>
      <w:r>
        <w:t xml:space="preserve"> </w:t>
      </w:r>
      <w:r>
        <w:rPr>
          <w:rStyle w:val="VerbatimChar"/>
        </w:rPr>
        <w:t xml:space="preserve">public</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中已经存在的表结构、流程对象和应用配置组织起来。因此，本节详细设计要强调的是“语义怎样围绕现有系统落地”，而不是“理论上可以扩展出多复杂的本体系统”。对当前项目而言，轻量化语义的实际价值体现在帮助页面解释业务对象、帮助应用中心理解动态表结构，以及帮助受控工具识别当前对象类型。</w:t>
      </w:r>
    </w:p>
    <w:bookmarkEnd w:id="154"/>
    <w:bookmarkStart w:id="155" w:name="与应用中心和受控工具的联动"/>
    <w:p>
      <w:pPr>
        <w:pStyle w:val="Heading3"/>
      </w:pPr>
      <w:r>
        <w:t xml:space="preserve">6.5.5 </w:t>
      </w:r>
      <w:r>
        <w:rPr>
          <w:rFonts w:hint="eastAsia"/>
        </w:rPr>
        <w:t xml:space="preserve">与应用中心和受控工具的联动</w:t>
      </w:r>
    </w:p>
    <w:p>
      <w:pPr>
        <w:pStyle w:val="FirstParagraph"/>
      </w:pPr>
      <w:r>
        <w:rPr>
          <w:rFonts w:hint="eastAsia"/>
        </w:rPr>
        <w:t xml:space="preserve">轻量化语义模块在当前系统中还有一个重要职责，就是为应用中心和受控工具调用提供解释支撑。闪念应用、Agent</w:t>
      </w:r>
      <w:r>
        <w:t xml:space="preserve"> Runtime </w:t>
      </w:r>
      <w:r>
        <w:rPr>
          <w:rFonts w:hint="eastAsia"/>
        </w:rPr>
        <w:t xml:space="preserve">和数据表格应用在处理对象时，并不是只依赖技术字段名，而是需要知道对象类型、字段含义以及它和流程状态、页面能力之间的关系。语义模块提供的正是这层补充信息。</w:t>
      </w:r>
    </w:p>
    <w:p>
      <w:pPr>
        <w:pStyle w:val="BodyText"/>
      </w:pPr>
      <w:r>
        <w:rPr>
          <w:rFonts w:hint="eastAsia"/>
        </w:rPr>
        <w:t xml:space="preserve">具体到当前实现，FlashBuilder</w:t>
      </w:r>
      <w:r>
        <w:t xml:space="preserve"> </w:t>
      </w:r>
      <w:r>
        <w:rPr>
          <w:rFonts w:hint="eastAsia"/>
        </w:rPr>
        <w:t xml:space="preserve">在组织草稿时会先识别当前对象更接近数据表格、流程对象还是语义对象，再决定草稿应关联哪类结构；Agent</w:t>
      </w:r>
      <w:r>
        <w:t xml:space="preserve"> Runtime </w:t>
      </w:r>
      <w:r>
        <w:rPr>
          <w:rFonts w:hint="eastAsia"/>
        </w:rPr>
        <w:t xml:space="preserve">在选择白名单工具时，也不会直接把任意请求下发给数据库，而是先结合对象类型和允许访问的工具范围做一次解释与分流；数据表格应用在展示字段时，则可以读取语义描述结果来解释字段含义、配置项用途以及字段与流程状态的关联。也就是说，语义模块并不是停留在数据库旁边的一份静态说明，而是已经进入当前系统的页面组织、工具选择和对象解释链路，承担“对象解释”和“能力约束补充”的作用。</w:t>
      </w:r>
    </w:p>
    <w:bookmarkEnd w:id="155"/>
    <w:bookmarkStart w:id="156" w:name="本节小结-3"/>
    <w:p>
      <w:pPr>
        <w:pStyle w:val="Heading3"/>
      </w:pPr>
      <w:r>
        <w:t xml:space="preserve">6.5.6 </w:t>
      </w:r>
      <w:r>
        <w:rPr>
          <w:rFonts w:hint="eastAsia"/>
        </w:rPr>
        <w:t xml:space="preserve">本节小结</w:t>
      </w:r>
    </w:p>
    <w:p>
      <w:pPr>
        <w:pStyle w:val="FirstParagraph"/>
      </w:pPr>
      <w:r>
        <w:rPr>
          <w:rFonts w:hint="eastAsia"/>
        </w:rPr>
        <w:t xml:space="preserve">轻量化语义模块的详细设计重点，在于说明它如何围绕现有数据库、应用中心和受控工具链路发挥作用。通过本体关系工作台、表级/列级语义组织以及与应用中心、FlashBuilder、Agent</w:t>
      </w:r>
      <w:r>
        <w:t xml:space="preserve"> Runtime </w:t>
      </w:r>
      <w:r>
        <w:rPr>
          <w:rFonts w:hint="eastAsia"/>
        </w:rPr>
        <w:t xml:space="preserve">的联动，本系统已经形成了一套轻量而可解释的语义支撑方式。这一部分不是泛泛而谈的通用功能，而是当前项目中已经落地的设计环节。</w:t>
      </w:r>
    </w:p>
    <w:bookmarkEnd w:id="156"/>
    <w:bookmarkEnd w:id="157"/>
    <w:bookmarkStart w:id="158"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58"/>
    <w:bookmarkEnd w:id="159"/>
    <w:bookmarkStart w:id="179" w:name="第七章-系统实现"/>
    <w:p>
      <w:pPr>
        <w:pStyle w:val="Heading1"/>
      </w:pPr>
      <w:r>
        <w:rPr>
          <w:rFonts w:hint="eastAsia"/>
        </w:rPr>
        <w:t xml:space="preserve">第七章</w:t>
      </w:r>
      <w:r>
        <w:t xml:space="preserve"> </w:t>
      </w:r>
      <w:r>
        <w:rPr>
          <w:rFonts w:hint="eastAsia"/>
        </w:rPr>
        <w:t xml:space="preserve">系统实现</w:t>
      </w:r>
    </w:p>
    <w:bookmarkStart w:id="160"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在完成系统总体设计、数据库设计和详细设计之后，本设计进一步完成了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60"/>
    <w:bookmarkStart w:id="161"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系统基座首页和微前端子应用入口界面，可作为本节对应的实现截图，与图7-1和图7-2相对应。</w:t>
      </w:r>
    </w:p>
    <w:bookmarkEnd w:id="161"/>
    <w:bookmarkStart w:id="164" w:name="人事管理模块实现"/>
    <w:p>
      <w:pPr>
        <w:pStyle w:val="Heading2"/>
      </w:pPr>
      <w:r>
        <w:t xml:space="preserve">7.3 </w:t>
      </w:r>
      <w:r>
        <w:rPr>
          <w:rFonts w:hint="eastAsia"/>
        </w:rPr>
        <w:t xml:space="preserve">人事管理模块实现</w:t>
      </w:r>
    </w:p>
    <w:bookmarkStart w:id="162"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员工档案、组织结构和用户管理页面，可分别对应图7-3、图7-4和图7-5，用于展示本节所述的人事基础功能。</w:t>
      </w:r>
    </w:p>
    <w:bookmarkEnd w:id="162"/>
    <w:bookmarkStart w:id="163"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设计阶段并不把人力资源管理写成完整商业产品，但从系统实现角度看，考勤功能已经具备基础录入和查询能力，能够与用户和组织数据形成关联。</w:t>
      </w:r>
    </w:p>
    <w:p>
      <w:pPr>
        <w:pStyle w:val="BodyText"/>
      </w:pPr>
      <w:r>
        <w:rPr>
          <w:rFonts w:hint="eastAsia"/>
        </w:rPr>
        <w:t xml:space="preserve">考勤页面可对应图7-6，用于补充本节的人事应用实现证据。</w:t>
      </w:r>
    </w:p>
    <w:bookmarkEnd w:id="163"/>
    <w:bookmarkEnd w:id="164"/>
    <w:bookmarkStart w:id="169" w:name="物料管理模块实现"/>
    <w:p>
      <w:pPr>
        <w:pStyle w:val="Heading2"/>
      </w:pPr>
      <w:r>
        <w:t xml:space="preserve">7.4 </w:t>
      </w:r>
      <w:r>
        <w:rPr>
          <w:rFonts w:hint="eastAsia"/>
        </w:rPr>
        <w:t xml:space="preserve">物料管理模块实现</w:t>
      </w:r>
    </w:p>
    <w:bookmarkStart w:id="165"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物料管理页面和仓库管理页面，可分别对应图7-7和图7-8，用于展示物料主数据和仓储结构维护能力。</w:t>
      </w:r>
    </w:p>
    <w:bookmarkEnd w:id="165"/>
    <w:bookmarkStart w:id="166"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库存台账页面和实时库存页面，可分别对应图7-9和图7-10，用于展示库存状态查询与批次分布能力。</w:t>
      </w:r>
    </w:p>
    <w:bookmarkEnd w:id="166"/>
    <w:bookmarkStart w:id="167"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入库页面和出库页面，可分别对应图7-11和图7-12，用于展示库存变动业务的前端实现。</w:t>
      </w:r>
    </w:p>
    <w:bookmarkEnd w:id="167"/>
    <w:bookmarkStart w:id="168"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盘点总览页面和批次号规则管理页面，可分别对应图7-13和图7-14，用于体现盘点与批次管理的配置化实现。</w:t>
      </w:r>
    </w:p>
    <w:bookmarkEnd w:id="168"/>
    <w:bookmarkEnd w:id="169"/>
    <w:bookmarkStart w:id="173" w:name="应用中心模块实现"/>
    <w:p>
      <w:pPr>
        <w:pStyle w:val="Heading2"/>
      </w:pPr>
      <w:r>
        <w:t xml:space="preserve">7.5 </w:t>
      </w:r>
      <w:r>
        <w:rPr>
          <w:rFonts w:hint="eastAsia"/>
        </w:rPr>
        <w:t xml:space="preserve">应用中心模块实现</w:t>
      </w:r>
    </w:p>
    <w:bookmarkStart w:id="170"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从本设计说明书表达角度看，这也体现了系统与一般单体业务系统相比的一个区别，即系统具有一定的平台化特征。</w:t>
      </w:r>
    </w:p>
    <w:p>
      <w:pPr>
        <w:pStyle w:val="BodyText"/>
      </w:pPr>
      <w:r>
        <w:rPr>
          <w:rFonts w:hint="eastAsia"/>
        </w:rPr>
        <w:t xml:space="preserve">应用中心首页和数据应用配置页面，可分别对应图7-15和图7-16，用于说明系统已具备应用级配置入口。</w:t>
      </w:r>
    </w:p>
    <w:bookmarkEnd w:id="170"/>
    <w:bookmarkStart w:id="171"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在当前实现中，流程能力主要服务于业务审批和状态联动，而不是追求完整外部流程平台的所有高级功能。因此，从本设计说明书表达角度，流程设计器和审批中心作为“流程支撑能力已完成实现”是成立的。</w:t>
      </w:r>
    </w:p>
    <w:p>
      <w:pPr>
        <w:pStyle w:val="BodyText"/>
      </w:pPr>
      <w:r>
        <w:rPr>
          <w:rFonts w:hint="eastAsia"/>
        </w:rPr>
        <w:t xml:space="preserve">流程设计器页面和审批中心页面，可分别对应图7-17和图7-18，用于展示流程配置与审批处理能力。</w:t>
      </w:r>
    </w:p>
    <w:bookmarkEnd w:id="171"/>
    <w:bookmarkStart w:id="172" w:name="本体关系工作台实现-1"/>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本设计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这一实现标志着系统开始从“只管理数据”向“解释数据含义”演进。对于本设计而言，本体关系工作台不仅是一个功能页面，更是轻量化语义模块在系统前端中的直接体现。</w:t>
      </w:r>
    </w:p>
    <w:p>
      <w:pPr>
        <w:pStyle w:val="BodyText"/>
      </w:pPr>
      <w:r>
        <w:rPr>
          <w:rFonts w:hint="eastAsia"/>
        </w:rPr>
        <w:t xml:space="preserve">本体关系工作台总览界面和列级语义展示界面，可分别对应图7-19和图7-20，用于说明轻量化语义模块的前端落点。</w:t>
      </w:r>
    </w:p>
    <w:bookmarkEnd w:id="172"/>
    <w:bookmarkEnd w:id="173"/>
    <w:bookmarkStart w:id="176" w:name="移动端模块实现"/>
    <w:p>
      <w:pPr>
        <w:pStyle w:val="Heading2"/>
      </w:pPr>
      <w:r>
        <w:t xml:space="preserve">7.6 </w:t>
      </w:r>
      <w:r>
        <w:rPr>
          <w:rFonts w:hint="eastAsia"/>
        </w:rPr>
        <w:t xml:space="preserve">移动端模块实现</w:t>
      </w:r>
    </w:p>
    <w:bookmarkStart w:id="174"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移动端首页和仓库查询页面，可分别对应图7-21和图7-22，用于展示移动端入口与查询能力。</w:t>
      </w:r>
    </w:p>
    <w:bookmarkEnd w:id="174"/>
    <w:bookmarkStart w:id="175"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移动端盘点页面、扫码页面和标签打印页面，可分别对应图7-23、图7-24和图7-25，用于体现现场轻量化操作能力。</w:t>
      </w:r>
    </w:p>
    <w:bookmarkEnd w:id="175"/>
    <w:bookmarkEnd w:id="176"/>
    <w:bookmarkStart w:id="177"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数据库中心架构是本设计系统实现中的重要基础。当前项目已经完成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这一实现方式的优势在于：减少了传统后端接口层的重复代码，把更多业务约束和一致性处理下沉到数据库层。对中小企业而言，这种实现方式能够降低中间层维护负担，也更契合本设计“轻量化部署”的目标。</w:t>
      </w:r>
    </w:p>
    <w:p>
      <w:pPr>
        <w:pStyle w:val="BodyText"/>
      </w:pPr>
      <w:r>
        <w:rPr>
          <w:rFonts w:hint="eastAsia"/>
        </w:rPr>
        <w:t xml:space="preserve">数据库管理界面或系统数据库结构界面，可对应图7-26，用于补充本节关于数据库中心架构落地的实现证据。</w:t>
      </w:r>
    </w:p>
    <w:bookmarkEnd w:id="177"/>
    <w:bookmarkStart w:id="178"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已经完成了本设计核心模块的系统实现，并形成了较完整的运行原型。对于开题阶段提出的主要目标，当前系统已经能够通过页面、数据库结构和运行链路给出较明确的实现证据。</w:t>
      </w:r>
    </w:p>
    <w:bookmarkEnd w:id="178"/>
    <w:bookmarkEnd w:id="179"/>
    <w:bookmarkStart w:id="193" w:name="第八章-系统测试"/>
    <w:p>
      <w:pPr>
        <w:pStyle w:val="Heading1"/>
      </w:pPr>
      <w:r>
        <w:rPr>
          <w:rFonts w:hint="eastAsia"/>
        </w:rPr>
        <w:t xml:space="preserve">第八章</w:t>
      </w:r>
      <w:r>
        <w:t xml:space="preserve"> </w:t>
      </w:r>
      <w:r>
        <w:rPr>
          <w:rFonts w:hint="eastAsia"/>
        </w:rPr>
        <w:t xml:space="preserve">系统测试</w:t>
      </w:r>
    </w:p>
    <w:bookmarkStart w:id="180"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核心功能是否能够按照预期运行，并检查关键业务链路在当前实现阶段是否具备稳定性和可用性。结合本设计的系统范围，测试重点主要包括以下几个方面：</w:t>
      </w:r>
    </w:p>
    <w:p>
      <w:pPr>
        <w:pStyle w:val="Compact"/>
        <w:numPr>
          <w:ilvl w:val="0"/>
          <w:numId w:val="1002"/>
        </w:numPr>
      </w:pPr>
      <w:r>
        <w:rPr>
          <w:rFonts w:hint="eastAsia"/>
        </w:rPr>
        <w:t xml:space="preserve">登录与鉴权是否正常；</w:t>
      </w:r>
    </w:p>
    <w:p>
      <w:pPr>
        <w:pStyle w:val="Compact"/>
        <w:numPr>
          <w:ilvl w:val="0"/>
          <w:numId w:val="1002"/>
        </w:numPr>
      </w:pPr>
      <w:r>
        <w:rPr>
          <w:rFonts w:hint="eastAsia"/>
        </w:rPr>
        <w:t xml:space="preserve">微前端路由与页面访问是否正常；</w:t>
      </w:r>
    </w:p>
    <w:p>
      <w:pPr>
        <w:pStyle w:val="Compact"/>
        <w:numPr>
          <w:ilvl w:val="0"/>
          <w:numId w:val="1002"/>
        </w:numPr>
      </w:pPr>
      <w:r>
        <w:rPr>
          <w:rFonts w:hint="eastAsia"/>
        </w:rPr>
        <w:t xml:space="preserve">人事、物料、应用中心等核心数据接口是否可用；</w:t>
      </w:r>
    </w:p>
    <w:p>
      <w:pPr>
        <w:pStyle w:val="Compact"/>
        <w:numPr>
          <w:ilvl w:val="0"/>
          <w:numId w:val="1002"/>
        </w:numPr>
      </w:pPr>
      <w:r>
        <w:rPr>
          <w:rFonts w:hint="eastAsia"/>
        </w:rPr>
        <w:t xml:space="preserve">流程配置与审批链路是否能够正常运行；</w:t>
      </w:r>
    </w:p>
    <w:p>
      <w:pPr>
        <w:pStyle w:val="Compact"/>
        <w:numPr>
          <w:ilvl w:val="0"/>
          <w:numId w:val="1002"/>
        </w:numPr>
      </w:pPr>
      <w:r>
        <w:rPr>
          <w:rFonts w:hint="eastAsia"/>
        </w:rPr>
        <w:t xml:space="preserve">移动端关键页面是否能够正常访问；</w:t>
      </w:r>
    </w:p>
    <w:p>
      <w:pPr>
        <w:pStyle w:val="Compact"/>
        <w:numPr>
          <w:ilvl w:val="0"/>
          <w:numId w:val="1002"/>
        </w:numPr>
      </w:pPr>
      <w:r>
        <w:rPr>
          <w:rFonts w:hint="eastAsia"/>
        </w:rPr>
        <w:t xml:space="preserve">系统运行进程与基础服务是否处于正常状态。</w:t>
      </w:r>
    </w:p>
    <w:bookmarkEnd w:id="180"/>
    <w:bookmarkStart w:id="181"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81"/>
    <w:bookmarkStart w:id="182"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结合毕业设计说明书的写作要求，本设计测试部分以黑盒测试为主。所谓黑盒测试，是指不直接关注程序内部代码实现，而是从用户输入、页面操作和系统输出结果的角度验证系统行为是否符合预期。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03"/>
        </w:numPr>
      </w:pPr>
      <w:r>
        <w:rPr>
          <w:rFonts w:hint="eastAsia"/>
        </w:rPr>
        <w:t xml:space="preserve">页面访问测试：验证页面是否可以正常打开与刷新；</w:t>
      </w:r>
    </w:p>
    <w:p>
      <w:pPr>
        <w:pStyle w:val="Compact"/>
        <w:numPr>
          <w:ilvl w:val="0"/>
          <w:numId w:val="1003"/>
        </w:numPr>
      </w:pPr>
      <w:r>
        <w:rPr>
          <w:rFonts w:hint="eastAsia"/>
        </w:rPr>
        <w:t xml:space="preserve">功能操作测试：验证登录、入库、出库、审批、查询等操作是否能正常执行；</w:t>
      </w:r>
    </w:p>
    <w:p>
      <w:pPr>
        <w:pStyle w:val="Compact"/>
        <w:numPr>
          <w:ilvl w:val="0"/>
          <w:numId w:val="1003"/>
        </w:numPr>
      </w:pPr>
      <w:r>
        <w:rPr>
          <w:rFonts w:hint="eastAsia"/>
        </w:rPr>
        <w:t xml:space="preserve">数据接口测试：验证关键表和关键接口是否可读取或返回正确结果；</w:t>
      </w:r>
    </w:p>
    <w:p>
      <w:pPr>
        <w:pStyle w:val="Compact"/>
        <w:numPr>
          <w:ilvl w:val="0"/>
          <w:numId w:val="1003"/>
        </w:numPr>
      </w:pPr>
      <w:r>
        <w:rPr>
          <w:rFonts w:hint="eastAsia"/>
        </w:rPr>
        <w:t xml:space="preserve">运行状态测试：验证容器和前端进程是否处于正常运行状态。</w:t>
      </w:r>
    </w:p>
    <w:bookmarkEnd w:id="182"/>
    <w:bookmarkStart w:id="183"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为了更加清晰地展示测试结果，以下选取其中最能反映系统核心能力的若干项测试用例进行表格化说明。</w:t>
      </w:r>
    </w:p>
    <w:bookmarkEnd w:id="183"/>
    <w:bookmarkStart w:id="189" w:name="黑盒测试用例"/>
    <w:p>
      <w:pPr>
        <w:pStyle w:val="Heading2"/>
      </w:pPr>
      <w:r>
        <w:t xml:space="preserve">8.5 </w:t>
      </w:r>
      <w:r>
        <w:rPr>
          <w:rFonts w:hint="eastAsia"/>
        </w:rPr>
        <w:t xml:space="preserve">黑盒测试用例</w:t>
      </w:r>
    </w:p>
    <w:bookmarkStart w:id="184"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84"/>
    <w:bookmarkStart w:id="185"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85"/>
    <w:bookmarkStart w:id="186"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86"/>
    <w:bookmarkStart w:id="187"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87"/>
    <w:bookmarkStart w:id="188"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88"/>
    <w:bookmarkEnd w:id="189"/>
    <w:bookmarkStart w:id="190"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在当前设计阶段的核心功能已经能够稳定运行，主要体现在以下几个方面：</w:t>
      </w:r>
    </w:p>
    <w:p>
      <w:pPr>
        <w:pStyle w:val="Compact"/>
        <w:numPr>
          <w:ilvl w:val="0"/>
          <w:numId w:val="1004"/>
        </w:numPr>
      </w:pPr>
      <w:r>
        <w:rPr>
          <w:rFonts w:hint="eastAsia"/>
        </w:rPr>
        <w:t xml:space="preserve">登录与鉴权链路正常，说明系统基础安全入口已可用；</w:t>
      </w:r>
    </w:p>
    <w:p>
      <w:pPr>
        <w:pStyle w:val="Compact"/>
        <w:numPr>
          <w:ilvl w:val="0"/>
          <w:numId w:val="1004"/>
        </w:numPr>
      </w:pPr>
      <w:r>
        <w:rPr>
          <w:rFonts w:hint="eastAsia"/>
        </w:rPr>
        <w:t xml:space="preserve">微前端子应用刷新与访问正常，说明系统基座和子应用装载机制较稳定；</w:t>
      </w:r>
    </w:p>
    <w:p>
      <w:pPr>
        <w:pStyle w:val="Compact"/>
        <w:numPr>
          <w:ilvl w:val="0"/>
          <w:numId w:val="1004"/>
        </w:numPr>
      </w:pPr>
      <w:r>
        <w:rPr>
          <w:rFonts w:hint="eastAsia"/>
        </w:rPr>
        <w:t xml:space="preserve">关键数据接口可用，说明数据库中心架构已经能够支撑业务页面运行；</w:t>
      </w:r>
    </w:p>
    <w:p>
      <w:pPr>
        <w:pStyle w:val="Compact"/>
        <w:numPr>
          <w:ilvl w:val="0"/>
          <w:numId w:val="1004"/>
        </w:numPr>
      </w:pPr>
      <w:r>
        <w:rPr>
          <w:rFonts w:hint="eastAsia"/>
        </w:rPr>
        <w:t xml:space="preserve">流程定义、状态映射和审批相关数据可正常访问，说明流程能力已具备基础运行条件；</w:t>
      </w:r>
    </w:p>
    <w:p>
      <w:pPr>
        <w:pStyle w:val="Compact"/>
        <w:numPr>
          <w:ilvl w:val="0"/>
          <w:numId w:val="1004"/>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90"/>
    <w:bookmarkStart w:id="191"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05"/>
        </w:numPr>
      </w:pPr>
      <w:r>
        <w:rPr>
          <w:rFonts w:hint="eastAsia"/>
        </w:rPr>
        <w:t xml:space="preserve">自动化测试体系仍然偏弱，缺少持续集成下的自动回归测试；</w:t>
      </w:r>
    </w:p>
    <w:p>
      <w:pPr>
        <w:pStyle w:val="Compact"/>
        <w:numPr>
          <w:ilvl w:val="0"/>
          <w:numId w:val="1005"/>
        </w:numPr>
      </w:pPr>
      <w:r>
        <w:rPr>
          <w:rFonts w:hint="eastAsia"/>
        </w:rPr>
        <w:t xml:space="preserve">对于跨模块联动场景，如流程驱动库存状态变化、移动端与后台同步等，还需要补充更系统的测试用例；</w:t>
      </w:r>
    </w:p>
    <w:p>
      <w:pPr>
        <w:pStyle w:val="Compact"/>
        <w:numPr>
          <w:ilvl w:val="0"/>
          <w:numId w:val="1005"/>
        </w:numPr>
      </w:pPr>
      <w:r>
        <w:rPr>
          <w:rFonts w:hint="eastAsia"/>
        </w:rPr>
        <w:t xml:space="preserve">针对异常情况的处理测试还不够充分，例如网络异常、权限异常和并发操作场景；</w:t>
      </w:r>
    </w:p>
    <w:p>
      <w:pPr>
        <w:pStyle w:val="Compact"/>
        <w:numPr>
          <w:ilvl w:val="0"/>
          <w:numId w:val="1005"/>
        </w:numPr>
      </w:pPr>
      <w:r>
        <w:rPr>
          <w:rFonts w:hint="eastAsia"/>
        </w:rPr>
        <w:t xml:space="preserve">性能指标和压力测试结果尚需进一步补充，以便为论文实验分析提供更充分的数据支撑。</w:t>
      </w:r>
    </w:p>
    <w:bookmarkEnd w:id="191"/>
    <w:bookmarkStart w:id="192"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本设计中所实现的核心功能具备较好的可运行性。与此同时，系统在自动化测试、异常场景覆盖和性能评估方面仍有进一步完善空间，这些内容也将作为后续优化的重要方向。</w:t>
      </w:r>
    </w:p>
    <w:bookmarkEnd w:id="192"/>
    <w:bookmarkEnd w:id="193"/>
    <w:bookmarkStart w:id="198" w:name="第九章-总结与展望"/>
    <w:p>
      <w:pPr>
        <w:pStyle w:val="Heading1"/>
      </w:pPr>
      <w:r>
        <w:rPr>
          <w:rFonts w:hint="eastAsia"/>
        </w:rPr>
        <w:t xml:space="preserve">第九章</w:t>
      </w:r>
      <w:r>
        <w:t xml:space="preserve"> </w:t>
      </w:r>
      <w:r>
        <w:rPr>
          <w:rFonts w:hint="eastAsia"/>
        </w:rPr>
        <w:t xml:space="preserve">总结与展望</w:t>
      </w:r>
    </w:p>
    <w:bookmarkStart w:id="194" w:name="全文工作总结"/>
    <w:p>
      <w:pPr>
        <w:pStyle w:val="Heading2"/>
      </w:pPr>
      <w:r>
        <w:t xml:space="preserve">9.1 </w:t>
      </w:r>
      <w:r>
        <w:rPr>
          <w:rFonts w:hint="eastAsia"/>
        </w:rPr>
        <w:t xml:space="preserve">全文工作总结</w:t>
      </w:r>
    </w:p>
    <w:p>
      <w:pPr>
        <w:pStyle w:val="FirstParagraph"/>
      </w:pPr>
      <w:r>
        <w:rPr>
          <w:rFonts w:hint="eastAsia"/>
        </w:rPr>
        <w:t xml:space="preserve">本设计围绕湛江地区中小制造企业在数字化转型过程中普遍存在的信息孤岛、库存台账混乱、批次追溯困难、权限边界不清和系统扩展成本高等问题，设计并实现了一个名为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设计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在系统架构方面，本设计完成了基于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设计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设计完成了数据应用配置、流程设计、审批中心和应用运行页面等功能的实现，并完成了流程定义、流程实例、任务分派和状态映射相关结构的落地。虽然当前设计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本设计特色部分，系统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设计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设计基于当前项目运行环境，对登录鉴权、微前端页面访问、核心数据接口、流程相关数据读取、辅助运行组件和运行状态等内容进行了阶段性测试。测试结果表明，系统当前主干功能运行稳定，关键页面和关键链路能够满足设计阶段的展示与验证需求。</w:t>
      </w:r>
    </w:p>
    <w:p>
      <w:pPr>
        <w:pStyle w:val="BodyText"/>
      </w:pPr>
      <w:r>
        <w:rPr>
          <w:rFonts w:hint="eastAsia"/>
        </w:rPr>
        <w:t xml:space="preserve">总体而言，本设计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194"/>
    <w:bookmarkStart w:id="195" w:name="主要成果"/>
    <w:p>
      <w:pPr>
        <w:pStyle w:val="Heading2"/>
      </w:pPr>
      <w:r>
        <w:t xml:space="preserve">9.2 </w:t>
      </w:r>
      <w:r>
        <w:rPr>
          <w:rFonts w:hint="eastAsia"/>
        </w:rPr>
        <w:t xml:space="preserve">主要成果</w:t>
      </w:r>
    </w:p>
    <w:p>
      <w:pPr>
        <w:pStyle w:val="FirstParagraph"/>
      </w:pPr>
      <w:r>
        <w:rPr>
          <w:rFonts w:hint="eastAsia"/>
        </w:rPr>
        <w:t xml:space="preserve">本设计的主要成果可以概括为以下几个方面：</w:t>
      </w:r>
    </w:p>
    <w:p>
      <w:pPr>
        <w:pStyle w:val="Compact"/>
        <w:numPr>
          <w:ilvl w:val="0"/>
          <w:numId w:val="1006"/>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06"/>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06"/>
        </w:numPr>
      </w:pPr>
      <w:r>
        <w:rPr>
          <w:rFonts w:hint="eastAsia"/>
        </w:rPr>
        <w:t xml:space="preserve">完成了人事管理、物料管理、应用中心、移动端等核心模块的系统实现。</w:t>
      </w:r>
    </w:p>
    <w:p>
      <w:pPr>
        <w:pStyle w:val="Compact"/>
        <w:numPr>
          <w:ilvl w:val="0"/>
          <w:numId w:val="1006"/>
        </w:numPr>
      </w:pPr>
      <w:r>
        <w:rPr>
          <w:rFonts w:hint="eastAsia"/>
        </w:rPr>
        <w:t xml:space="preserve">完成了库存入库、出库、盘点、批次管理等与企业现场业务紧密相关的核心功能。</w:t>
      </w:r>
    </w:p>
    <w:p>
      <w:pPr>
        <w:pStyle w:val="Compact"/>
        <w:numPr>
          <w:ilvl w:val="0"/>
          <w:numId w:val="1006"/>
        </w:numPr>
      </w:pPr>
      <w:r>
        <w:rPr>
          <w:rFonts w:hint="eastAsia"/>
        </w:rPr>
        <w:t xml:space="preserve">完成了流程定义、审批中心和状态映射的基础实现，形成了流程与业务状态联动的支撑能力。</w:t>
      </w:r>
    </w:p>
    <w:p>
      <w:pPr>
        <w:pStyle w:val="Compact"/>
        <w:numPr>
          <w:ilvl w:val="0"/>
          <w:numId w:val="1006"/>
        </w:numPr>
      </w:pPr>
      <w:r>
        <w:rPr>
          <w:rFonts w:hint="eastAsia"/>
        </w:rPr>
        <w:t xml:space="preserve">完成了轻量化语义模块设计与实现，形成了表级语义、列级语义和关系语义增强机制。</w:t>
      </w:r>
    </w:p>
    <w:p>
      <w:pPr>
        <w:pStyle w:val="Compact"/>
        <w:numPr>
          <w:ilvl w:val="0"/>
          <w:numId w:val="1006"/>
        </w:numPr>
      </w:pPr>
      <w:r>
        <w:rPr>
          <w:rFonts w:hint="eastAsia"/>
        </w:rPr>
        <w:t xml:space="preserve">完成了阶段性功能测试与运行验证，为本设计分析和后续答辩提供了依据。</w:t>
      </w:r>
    </w:p>
    <w:bookmarkEnd w:id="195"/>
    <w:bookmarkStart w:id="196" w:name="存在的不足"/>
    <w:p>
      <w:pPr>
        <w:pStyle w:val="Heading2"/>
      </w:pPr>
      <w:r>
        <w:t xml:space="preserve">9.3 </w:t>
      </w:r>
      <w:r>
        <w:rPr>
          <w:rFonts w:hint="eastAsia"/>
        </w:rPr>
        <w:t xml:space="preserve">存在的不足</w:t>
      </w:r>
    </w:p>
    <w:p>
      <w:pPr>
        <w:pStyle w:val="FirstParagraph"/>
      </w:pPr>
      <w:r>
        <w:rPr>
          <w:rFonts w:hint="eastAsia"/>
        </w:rPr>
        <w:t xml:space="preserve">虽然本设计已经完成了系统核心部分的设计与实现，但由于时间和项目推进节奏所限，当前成果仍然存在一些不足。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本设计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本设计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设计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196"/>
    <w:bookmarkStart w:id="197" w:name="未来展望"/>
    <w:p>
      <w:pPr>
        <w:pStyle w:val="Heading2"/>
      </w:pPr>
      <w:r>
        <w:t xml:space="preserve">9.4 </w:t>
      </w:r>
      <w:r>
        <w:rPr>
          <w:rFonts w:hint="eastAsia"/>
        </w:rPr>
        <w:t xml:space="preserve">未来展望</w:t>
      </w:r>
    </w:p>
    <w:p>
      <w:pPr>
        <w:pStyle w:val="FirstParagraph"/>
      </w:pPr>
      <w:r>
        <w:rPr>
          <w:rFonts w:hint="eastAsia"/>
        </w:rPr>
        <w:t xml:space="preserve">结合本设计当前成果和存在问题，系统后续可以从以下几个方向继续完善。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总体来看，本设计完成的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197"/>
    <w:bookmarkEnd w:id="198"/>
    <w:bookmarkStart w:id="199" w:name="致谢"/>
    <w:p>
      <w:pPr>
        <w:pStyle w:val="Heading1"/>
      </w:pPr>
      <w:r>
        <w:rPr>
          <w:rFonts w:hint="eastAsia"/>
        </w:rPr>
        <w:t xml:space="preserve">致谢</w:t>
      </w:r>
    </w:p>
    <w:p>
      <w:pPr>
        <w:pStyle w:val="FirstParagraph"/>
      </w:pPr>
      <w:r>
        <w:rPr>
          <w:rFonts w:hint="eastAsia"/>
        </w:rPr>
        <w:t xml:space="preserve">在本次毕业设计与设计说明书撰写过程中，我得到了许多老师、同学和相关人员的帮助与支持。在设计即将完成之际，我谨向所有给予我指导和帮助的人表示衷心的感谢。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说明书修改以及整体思路把握过程中，老师都给予了我耐心而细致的指导。无论是在课题方向的确定上，还是在说明书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说明书整理过程中帮助过我的同学和朋友。在系统联调、资料收集、问题讨论和说明书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最后，我要感谢一直支持和关心我的家人。正是他们的理解、鼓励和陪伴，让我能够以较稳定的心态完成本次毕业设计与说明书撰写工作。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199"/>
    <w:bookmarkStart w:id="200"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ome/lzr/eiscore/docs/diagrams/&#22270;1-1_&#35770;&#25991;&#30740;&#31350;&#24605;&#36335;&#19982;&#25216;&#26415;&#36335;&#32447;&#22270;.svg" TargetMode="External" /><Relationship Type="http://schemas.openxmlformats.org/officeDocument/2006/relationships/hyperlink" Id="rId35" Target="/home/lzr/eiscore/docs/diagrams/&#22270;3-1_&#21335;&#27966;&#39135;&#21697;&#20379;&#24212;&#38142;&#19982;&#29983;&#20135;&#21327;&#21516;&#27891;&#36947;&#22270;.svg" TargetMode="External" /><Relationship Type="http://schemas.openxmlformats.org/officeDocument/2006/relationships/hyperlink" Id="rId43" Target="/home/lzr/eiscore/docs/diagrams/&#22270;3-2_&#38144;&#21806;&#35745;&#21010;&#19982;&#37319;&#36141;&#29992;&#20363;&#22270;.svg" TargetMode="External" /><Relationship Type="http://schemas.openxmlformats.org/officeDocument/2006/relationships/hyperlink" Id="rId44" Target="/home/lzr/eiscore/docs/diagrams/&#22270;3-3_&#20179;&#20648;&#19982;&#24211;&#23384;&#20316;&#19994;&#29992;&#20363;&#22270;.svg" TargetMode="External" /><Relationship Type="http://schemas.openxmlformats.org/officeDocument/2006/relationships/hyperlink" Id="rId45" Target="/home/lzr/eiscore/docs/diagrams/&#22270;3-4_&#36136;&#37327;&#26816;&#39564;&#19982;&#23457;&#25209;&#29992;&#20363;&#22270;.svg" TargetMode="External" /><Relationship Type="http://schemas.openxmlformats.org/officeDocument/2006/relationships/hyperlink" Id="rId46" Target="/home/lzr/eiscore/docs/diagrams/&#22270;3-5_&#36861;&#28335;&#19982;&#32463;&#33829;&#31649;&#29702;&#29992;&#20363;&#22270;.svg" TargetMode="External" /><Relationship Type="http://schemas.openxmlformats.org/officeDocument/2006/relationships/hyperlink" Id="rId42" Target="/home/lzr/eiscore/docs/diagrams/&#22270;3-6_EISCore&#24635;&#20307;&#21151;&#33021;&#32467;&#26500;&#22270;.svg" TargetMode="External" /><Relationship Type="http://schemas.openxmlformats.org/officeDocument/2006/relationships/hyperlink" Id="rId57" Target="/home/lzr/eiscore/docs/diagrams/&#22270;3-7_&#37319;&#36141;&#20837;&#24211;&#19982;&#26469;&#26009;&#26816;&#39564;&#27963;&#21160;&#22270;.svg" TargetMode="External" /><Relationship Type="http://schemas.openxmlformats.org/officeDocument/2006/relationships/hyperlink" Id="rId58" Target="/home/lzr/eiscore/docs/diagrams/&#22270;3-8_&#29983;&#20135;&#39046;&#26009;&#19982;&#34917;&#26009;&#27963;&#21160;&#22270;.svg" TargetMode="External" /><Relationship Type="http://schemas.openxmlformats.org/officeDocument/2006/relationships/hyperlink" Id="rId77" Target="/home/lzr/eiscore/docs/diagrams/&#22270;4-1_EISCore&#31995;&#32479;&#24635;&#20307;&#26550;&#26500;&#22270;.svg" TargetMode="External" /><Relationship Type="http://schemas.openxmlformats.org/officeDocument/2006/relationships/hyperlink" Id="rId83" Target="/home/lzr/eiscore/docs/diagrams/&#22270;4-3_EISCore&#25216;&#26415;&#32452;&#32455;&#20851;&#31995;&#22270;.svg" TargetMode="External" /><Relationship Type="http://schemas.openxmlformats.org/officeDocument/2006/relationships/hyperlink" Id="rId85" Target="/home/lzr/eiscore/docs/diagrams/&#22270;4-4_&#38378;&#24565;&#24212;&#29992;&#26234;&#33021;&#20307;&#19982;&#36731;&#37327;&#35821;&#20041;&#32852;&#21160;&#22270;.svg" TargetMode="External" /><Relationship Type="http://schemas.openxmlformats.org/officeDocument/2006/relationships/hyperlink" Id="rId92" Target="/home/lzr/eiscore/docs/diagrams/&#22270;5-1_EISCore&#26680;&#24515;&#25968;&#25454;&#23454;&#20307;&#20851;&#31995;&#22270;.svg" TargetMode="External" /><Relationship Type="http://schemas.openxmlformats.org/officeDocument/2006/relationships/hyperlink" Id="rId137" Target="/home/lzr/eiscore/docs/diagrams/&#22270;6-1_&#24211;&#23384;&#20837;&#24211;&#26102;&#24207;&#22270;.svg" TargetMode="External" /><Relationship Type="http://schemas.openxmlformats.org/officeDocument/2006/relationships/hyperlink" Id="rId138" Target="/home/lzr/eiscore/docs/diagrams/&#22270;6-2_&#24211;&#23384;&#20986;&#24211;&#26102;&#24207;&#22270;.svg" TargetMode="External" /><Relationship Type="http://schemas.openxmlformats.org/officeDocument/2006/relationships/hyperlink" Id="rId147" Target="/home/lzr/eiscore/docs/diagrams/&#22270;6-3_&#27969;&#31243;&#21551;&#21160;&#19982;&#29366;&#24577;&#20889;&#22238;&#26102;&#24207;&#22270;.svg" TargetMode="External" /><Relationship Type="http://schemas.openxmlformats.org/officeDocument/2006/relationships/hyperlink" Id="rId128" Target="/home/lzr/eiscore/docs/diagrams/&#22270;6-4_&#26435;&#38480;&#25511;&#21046;&#26102;&#24207;&#22270;.svg" TargetMode="External" /></Relationships>
</file>

<file path=word/_rels/footnotes.xml.rels><?xml version="1.0" encoding="UTF-8"?><Relationships xmlns="http://schemas.openxmlformats.org/package/2006/relationships"><Relationship Type="http://schemas.openxmlformats.org/officeDocument/2006/relationships/hyperlink" Id="rId16" Target="/home/lzr/eiscore/docs/diagrams/&#22270;1-1_&#35770;&#25991;&#30740;&#31350;&#24605;&#36335;&#19982;&#25216;&#26415;&#36335;&#32447;&#22270;.svg" TargetMode="External" /><Relationship Type="http://schemas.openxmlformats.org/officeDocument/2006/relationships/hyperlink" Id="rId35" Target="/home/lzr/eiscore/docs/diagrams/&#22270;3-1_&#21335;&#27966;&#39135;&#21697;&#20379;&#24212;&#38142;&#19982;&#29983;&#20135;&#21327;&#21516;&#27891;&#36947;&#22270;.svg" TargetMode="External" /><Relationship Type="http://schemas.openxmlformats.org/officeDocument/2006/relationships/hyperlink" Id="rId43" Target="/home/lzr/eiscore/docs/diagrams/&#22270;3-2_&#38144;&#21806;&#35745;&#21010;&#19982;&#37319;&#36141;&#29992;&#20363;&#22270;.svg" TargetMode="External" /><Relationship Type="http://schemas.openxmlformats.org/officeDocument/2006/relationships/hyperlink" Id="rId44" Target="/home/lzr/eiscore/docs/diagrams/&#22270;3-3_&#20179;&#20648;&#19982;&#24211;&#23384;&#20316;&#19994;&#29992;&#20363;&#22270;.svg" TargetMode="External" /><Relationship Type="http://schemas.openxmlformats.org/officeDocument/2006/relationships/hyperlink" Id="rId45" Target="/home/lzr/eiscore/docs/diagrams/&#22270;3-4_&#36136;&#37327;&#26816;&#39564;&#19982;&#23457;&#25209;&#29992;&#20363;&#22270;.svg" TargetMode="External" /><Relationship Type="http://schemas.openxmlformats.org/officeDocument/2006/relationships/hyperlink" Id="rId46" Target="/home/lzr/eiscore/docs/diagrams/&#22270;3-5_&#36861;&#28335;&#19982;&#32463;&#33829;&#31649;&#29702;&#29992;&#20363;&#22270;.svg" TargetMode="External" /><Relationship Type="http://schemas.openxmlformats.org/officeDocument/2006/relationships/hyperlink" Id="rId42" Target="/home/lzr/eiscore/docs/diagrams/&#22270;3-6_EISCore&#24635;&#20307;&#21151;&#33021;&#32467;&#26500;&#22270;.svg" TargetMode="External" /><Relationship Type="http://schemas.openxmlformats.org/officeDocument/2006/relationships/hyperlink" Id="rId57" Target="/home/lzr/eiscore/docs/diagrams/&#22270;3-7_&#37319;&#36141;&#20837;&#24211;&#19982;&#26469;&#26009;&#26816;&#39564;&#27963;&#21160;&#22270;.svg" TargetMode="External" /><Relationship Type="http://schemas.openxmlformats.org/officeDocument/2006/relationships/hyperlink" Id="rId58" Target="/home/lzr/eiscore/docs/diagrams/&#22270;3-8_&#29983;&#20135;&#39046;&#26009;&#19982;&#34917;&#26009;&#27963;&#21160;&#22270;.svg" TargetMode="External" /><Relationship Type="http://schemas.openxmlformats.org/officeDocument/2006/relationships/hyperlink" Id="rId77" Target="/home/lzr/eiscore/docs/diagrams/&#22270;4-1_EISCore&#31995;&#32479;&#24635;&#20307;&#26550;&#26500;&#22270;.svg" TargetMode="External" /><Relationship Type="http://schemas.openxmlformats.org/officeDocument/2006/relationships/hyperlink" Id="rId83" Target="/home/lzr/eiscore/docs/diagrams/&#22270;4-3_EISCore&#25216;&#26415;&#32452;&#32455;&#20851;&#31995;&#22270;.svg" TargetMode="External" /><Relationship Type="http://schemas.openxmlformats.org/officeDocument/2006/relationships/hyperlink" Id="rId85" Target="/home/lzr/eiscore/docs/diagrams/&#22270;4-4_&#38378;&#24565;&#24212;&#29992;&#26234;&#33021;&#20307;&#19982;&#36731;&#37327;&#35821;&#20041;&#32852;&#21160;&#22270;.svg" TargetMode="External" /><Relationship Type="http://schemas.openxmlformats.org/officeDocument/2006/relationships/hyperlink" Id="rId92" Target="/home/lzr/eiscore/docs/diagrams/&#22270;5-1_EISCore&#26680;&#24515;&#25968;&#25454;&#23454;&#20307;&#20851;&#31995;&#22270;.svg" TargetMode="External" /><Relationship Type="http://schemas.openxmlformats.org/officeDocument/2006/relationships/hyperlink" Id="rId137" Target="/home/lzr/eiscore/docs/diagrams/&#22270;6-1_&#24211;&#23384;&#20837;&#24211;&#26102;&#24207;&#22270;.svg" TargetMode="External" /><Relationship Type="http://schemas.openxmlformats.org/officeDocument/2006/relationships/hyperlink" Id="rId138" Target="/home/lzr/eiscore/docs/diagrams/&#22270;6-2_&#24211;&#23384;&#20986;&#24211;&#26102;&#24207;&#22270;.svg" TargetMode="External" /><Relationship Type="http://schemas.openxmlformats.org/officeDocument/2006/relationships/hyperlink" Id="rId147" Target="/home/lzr/eiscore/docs/diagrams/&#22270;6-3_&#27969;&#31243;&#21551;&#21160;&#19982;&#29366;&#24577;&#20889;&#22238;&#26102;&#24207;&#22270;.svg" TargetMode="External" /><Relationship Type="http://schemas.openxmlformats.org/officeDocument/2006/relationships/hyperlink" Id="rId128" Target="/home/lzr/eiscore/docs/diagrams/&#22270;6-4_&#26435;&#38480;&#25511;&#21046;&#26102;&#24207;&#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2026-04-03T15:06:54Z</dcterms:created>
  <dcterms:modified xsi:type="dcterms:W3CDTF">2026-04-03T15:06:54Z</dcterms:modified>
</cp:coreProperties>
</file>

<file path=docProps/custom.xml><?xml version="1.0" encoding="utf-8"?>
<Properties xmlns="http://schemas.openxmlformats.org/officeDocument/2006/custom-properties" xmlns:vt="http://schemas.openxmlformats.org/officeDocument/2006/docPropsVTypes"/>
</file>