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五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压缩常规接口层。第三，在前端以微前端方式组织基座、人事、物料、应用中心和移动端，使模块边界更清晰。第四，引入 BPMN 2.0 流程建模，用于支撑审批和状态写回。第五，在平台层补入轻量化语义机制，增强表、字段和关系结构的可解释性。</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等工具。它们分别服务于统计图展示、页面导出、配置编辑以及文本与文档处理场景，虽然不属于论文研究主线，但在系统实际落地过程中承担了必要支撑角色。</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运行环境，为应用中心中的辅助开发和草稿生成提供空间。这部分内容属于工程环境说明，但对于交代系统的实际运行链路是必要的。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它的价值不在于追求复杂推理，而在于为流程、权限和动态配置提供一致的表达基础。</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