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第三章-需求分析"/>
    <w:p>
      <w:pPr>
        <w:pStyle w:val="Heading1"/>
      </w:pPr>
      <w:r>
        <w:rPr>
          <w:rFonts w:hint="eastAsia"/>
        </w:rPr>
        <w:t xml:space="preserve">第三章</w:t>
      </w:r>
      <w:r>
        <w:t xml:space="preserve"> </w:t>
      </w:r>
      <w:r>
        <w:rPr>
          <w:rFonts w:hint="eastAsia"/>
        </w:rPr>
        <w:t xml:space="preserve">需求分析</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说明：本章依据广东南派食品有限公司真实业务调研资料、数字化自评材料以及当前项目实现范围整理而成，重点围绕企业当前业务流程、核心痛点、功能需求与非功能需求展开分析。</w:t>
      </w:r>
    </w:p>
    <w:bookmarkStart w:id="9"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9"/>
    <w:bookmarkStart w:id="10"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10"/>
    <w:bookmarkStart w:id="11"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11"/>
    <w:bookmarkStart w:id="17" w:name="现有业务流程分析"/>
    <w:p>
      <w:pPr>
        <w:pStyle w:val="Heading2"/>
      </w:pPr>
      <w:r>
        <w:t xml:space="preserve">3.4 </w:t>
      </w:r>
      <w:r>
        <w:rPr>
          <w:rFonts w:hint="eastAsia"/>
        </w:rPr>
        <w:t xml:space="preserve">现有业务流程分析</w:t>
      </w:r>
    </w:p>
    <w:bookmarkStart w:id="12"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12"/>
    <w:bookmarkStart w:id="13"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13"/>
    <w:bookmarkStart w:id="14"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14"/>
    <w:bookmarkStart w:id="15"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15"/>
    <w:bookmarkStart w:id="16"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16"/>
    <w:bookmarkEnd w:id="17"/>
    <w:bookmarkStart w:id="34"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p>
      <w:pPr>
        <w:pStyle w:val="BodyText"/>
      </w:pPr>
      <w:r>
        <w:rPr>
          <w:rFonts w:hint="eastAsia"/>
        </w:rPr>
        <w:t xml:space="preserve">从角色与业务范围来看，系统核心业务用例如图3-2所示。该图主要覆盖销售、PMC、采购、仓储和生产等主业务角色，用于说明订单、库存、采购、领料、出入库等功能的总体分布。质量、追溯、审批和经营查看等相对独立但又与主业务链密切相关的需求，则进一步整理为图3-3。这样处理的目的是先从“角色能做什么”切入，再回到“系统模块应包含哪些功能”。</w:t>
      </w:r>
      <w:r>
        <w:br/>
      </w:r>
      <w:r>
        <w:rPr>
          <w:rFonts w:hint="eastAsia"/>
        </w:rPr>
        <w:t xml:space="preserve">见图3-2</w:t>
      </w:r>
      <w:r>
        <w:t xml:space="preserve"> </w:t>
      </w:r>
      <w:hyperlink r:id="rId18">
        <w:r>
          <w:rPr>
            <w:rStyle w:val="Hyperlink"/>
            <w:rFonts w:hint="eastAsia"/>
          </w:rPr>
          <w:t xml:space="preserve">图3-2_EISCore核心业务用例图.svg</w:t>
        </w:r>
      </w:hyperlink>
      <w:r>
        <w:t xml:space="preserve">。</w:t>
      </w:r>
      <w:r>
        <w:br/>
      </w:r>
      <w:r>
        <w:rPr>
          <w:rFonts w:hint="eastAsia"/>
        </w:rPr>
        <w:t xml:space="preserve">见图3-3</w:t>
      </w:r>
      <w:r>
        <w:t xml:space="preserve"> </w:t>
      </w:r>
      <w:hyperlink r:id="rId19">
        <w:r>
          <w:rPr>
            <w:rStyle w:val="Hyperlink"/>
            <w:rFonts w:hint="eastAsia"/>
          </w:rPr>
          <w:t xml:space="preserve">图3-3_EISCore质量追溯与经营管理用例图.svg</w:t>
        </w:r>
      </w:hyperlink>
      <w:r>
        <w:t xml:space="preserve">。</w:t>
      </w:r>
    </w:p>
    <w:p>
      <w:pPr>
        <w:pStyle w:val="BodyText"/>
      </w:pPr>
      <w:r>
        <w:rPr>
          <w:rFonts w:hint="eastAsia"/>
        </w:rPr>
        <w:t xml:space="preserve">在此基础上，本文进一步将系统功能按模块进行归纳，形成总体功能结构，如图3-4所示。该图的作用不是替代后续用例图，而是先从总体上说明</w:t>
      </w:r>
      <w:r>
        <w:t xml:space="preserve"> EISCore </w:t>
      </w:r>
      <w:r>
        <w:rPr>
          <w:rFonts w:hint="eastAsia"/>
        </w:rPr>
        <w:t xml:space="preserve">当前论文范围内准备重点实现哪些功能域，以及这些功能域之间的大致组织关系。具体来看，系统当前主要围绕基础平台与主数据、人事管理、物料与仓储、应用中心、移动端以及数据与权限支撑几个方向展开，其中基础平台与主数据为其余模块提供统一对象基础，物料与仓储、应用中心和移动端则分别承载企业现场最常用的业务入口和配置入口。</w:t>
      </w:r>
      <w:r>
        <w:br/>
      </w:r>
      <w:r>
        <w:rPr>
          <w:rFonts w:hint="eastAsia"/>
        </w:rPr>
        <w:t xml:space="preserve">见图3-4</w:t>
      </w:r>
      <w:r>
        <w:t xml:space="preserve"> </w:t>
      </w:r>
      <w:hyperlink r:id="rId20">
        <w:r>
          <w:rPr>
            <w:rStyle w:val="Hyperlink"/>
            <w:rFonts w:hint="eastAsia"/>
          </w:rPr>
          <w:t xml:space="preserve">图3-4_EISCore总体功能结构图.svg</w:t>
        </w:r>
      </w:hyperlink>
      <w:r>
        <w:t xml:space="preserve">。</w:t>
      </w:r>
    </w:p>
    <w:bookmarkStart w:id="21"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21"/>
    <w:bookmarkStart w:id="22"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22"/>
    <w:bookmarkStart w:id="23"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23"/>
    <w:bookmarkStart w:id="24"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24"/>
    <w:bookmarkStart w:id="25"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25"/>
    <w:bookmarkStart w:id="26"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26"/>
    <w:bookmarkStart w:id="27"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27"/>
    <w:bookmarkStart w:id="28"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28"/>
    <w:bookmarkStart w:id="29"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29"/>
    <w:bookmarkStart w:id="30"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为了使需求分析结果更便于后续总体设计和详细设计调用，本文进一步将当前论文范围内的核心功能需求整理为表3-2。该表强调“模块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需求说明”的对应关系，便于后续与第四章模块划分以及第七章系统实现进行对照。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30"/>
    <w:bookmarkStart w:id="33" w:name="代表性用例规约"/>
    <w:p>
      <w:pPr>
        <w:pStyle w:val="Heading3"/>
      </w:pPr>
      <w:r>
        <w:t xml:space="preserve">3.5.11 </w:t>
      </w:r>
      <w:r>
        <w:rPr>
          <w:rFonts w:hint="eastAsia"/>
        </w:rPr>
        <w:t xml:space="preserve">代表性用例规约</w:t>
      </w:r>
    </w:p>
    <w:p>
      <w:pPr>
        <w:pStyle w:val="FirstParagraph"/>
      </w:pPr>
      <w:r>
        <w:rPr>
          <w:rFonts w:hint="eastAsia"/>
        </w:rPr>
        <w:t xml:space="preserve">在总体功能结构和用例图之外，需求分析还需要用更细的形式说明关键业务是如何发生的。考虑到本课题重点在于库存、流程和跨部门协同，本文选取“采购入库与来料检验”以及“生产领料与补料”两个业务场景给出代表性用例规约。</w:t>
      </w:r>
    </w:p>
    <w:p>
      <w:pPr>
        <w:pStyle w:val="BodyText"/>
      </w:pPr>
      <w:r>
        <w:rPr>
          <w:rFonts w:hint="eastAsia"/>
        </w:rPr>
        <w:t xml:space="preserve">表3-3</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采购人员或仓库登记到货，发起收料处理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质检人员创建来料检验单；3.</w:t>
            </w:r>
            <w:r>
              <w:t xml:space="preserve"> </w:t>
            </w:r>
            <w:r>
              <w:rPr>
                <w:rFonts w:hint="eastAsia"/>
              </w:rPr>
              <w:t xml:space="preserve">质检合格后生成采购入库；4.</w:t>
            </w:r>
            <w:r>
              <w:t xml:space="preserve"> </w:t>
            </w:r>
            <w:r>
              <w:rPr>
                <w:rFonts w:hint="eastAsia"/>
              </w:rPr>
              <w:t xml:space="preserve">系统写入库存批次与库存流水；5.</w:t>
            </w:r>
            <w:r>
              <w:t xml:space="preserve"> </w:t>
            </w:r>
            <w:r>
              <w:rPr>
                <w:rFonts w:hint="eastAsia"/>
              </w:rPr>
              <w:t xml:space="preserve">入库结果可供后续领料和追溯使用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检验结果暂未出具时，系统保留附件和状态记录，待后续补录</w:t>
            </w:r>
          </w:p>
        </w:tc>
      </w:tr>
      <w:tr>
        <w:tc>
          <w:tcPr/>
          <w:p>
            <w:pPr>
              <w:pStyle w:val="Compact"/>
            </w:pPr>
            <w:r>
              <w:rPr>
                <w:rFonts w:hint="eastAsia"/>
              </w:rPr>
              <w:t xml:space="preserve">后置条件</w:t>
            </w:r>
          </w:p>
        </w:tc>
        <w:tc>
          <w:tcPr/>
          <w:p>
            <w:pPr>
              <w:pStyle w:val="Compact"/>
            </w:pPr>
            <w:r>
              <w:rPr>
                <w:rFonts w:hint="eastAsia"/>
              </w:rPr>
              <w:t xml:space="preserve">采购单、检验单和入库单建立关联；库存台账更新</w:t>
            </w:r>
          </w:p>
        </w:tc>
      </w:tr>
    </w:tbl>
    <w:p>
      <w:pPr>
        <w:pStyle w:val="BodyText"/>
      </w:pPr>
      <w:r>
        <w:rPr>
          <w:rFonts w:hint="eastAsia"/>
        </w:rPr>
        <w:t xml:space="preserve">表3-4</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t xml:space="preserve">PMC </w:t>
            </w:r>
            <w:r>
              <w:rPr>
                <w:rFonts w:hint="eastAsia"/>
              </w:rPr>
              <w:t xml:space="preserve">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已下达生产订单；存在用料需求</w:t>
            </w:r>
          </w:p>
        </w:tc>
      </w:tr>
      <w:tr>
        <w:tc>
          <w:tcPr/>
          <w:p>
            <w:pPr>
              <w:pStyle w:val="Compact"/>
            </w:pPr>
            <w:r>
              <w:rPr>
                <w:rFonts w:hint="eastAsia"/>
              </w:rPr>
              <w:t xml:space="preserve">触发条件</w:t>
            </w:r>
          </w:p>
        </w:tc>
        <w:tc>
          <w:tcPr/>
          <w:p>
            <w:pPr>
              <w:pStyle w:val="Compact"/>
            </w:pPr>
            <w:r>
              <w:rPr>
                <w:rFonts w:hint="eastAsia"/>
              </w:rPr>
              <w:t xml:space="preserve">车间按生产任务到仓库领料，或在生产过程中追加辅料</w:t>
            </w:r>
          </w:p>
        </w:tc>
      </w:tr>
      <w:tr>
        <w:tc>
          <w:tcPr/>
          <w:p>
            <w:pPr>
              <w:pStyle w:val="Compact"/>
            </w:pPr>
            <w:r>
              <w:rPr>
                <w:rFonts w:hint="eastAsia"/>
              </w:rPr>
              <w:t xml:space="preserve">基本事件流</w:t>
            </w:r>
          </w:p>
        </w:tc>
        <w:tc>
          <w:tcPr/>
          <w:p>
            <w:pPr>
              <w:pStyle w:val="Compact"/>
            </w:pPr>
            <w:r>
              <w:t xml:space="preserve">1. PMC </w:t>
            </w:r>
            <w:r>
              <w:rPr>
                <w:rFonts w:hint="eastAsia"/>
              </w:rPr>
              <w:t xml:space="preserve">下达生产任务；2.</w:t>
            </w:r>
            <w:r>
              <w:t xml:space="preserve"> </w:t>
            </w:r>
            <w:r>
              <w:rPr>
                <w:rFonts w:hint="eastAsia"/>
              </w:rPr>
              <w:t xml:space="preserve">生产主管依据计划和配方发起领料；3.</w:t>
            </w:r>
            <w:r>
              <w:t xml:space="preserve"> </w:t>
            </w:r>
            <w:r>
              <w:rPr>
                <w:rFonts w:hint="eastAsia"/>
              </w:rPr>
              <w:t xml:space="preserve">仓管员按批次执行领料出库；4.</w:t>
            </w:r>
            <w:r>
              <w:t xml:space="preserve"> </w:t>
            </w:r>
            <w:r>
              <w:rPr>
                <w:rFonts w:hint="eastAsia"/>
              </w:rPr>
              <w:t xml:space="preserve">生产过程中若原料属性变化，则发起补料；5.</w:t>
            </w:r>
            <w:r>
              <w:t xml:space="preserve"> </w:t>
            </w:r>
            <w:r>
              <w:rPr>
                <w:rFonts w:hint="eastAsia"/>
              </w:rPr>
              <w:t xml:space="preserve">系统记录补料单与对应生产任务；6.</w:t>
            </w:r>
            <w:r>
              <w:t xml:space="preserve"> </w:t>
            </w:r>
            <w:r>
              <w:rPr>
                <w:rFonts w:hint="eastAsia"/>
              </w:rPr>
              <w:t xml:space="preserve">后续报工和完工入库可继续关联该批次链路</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批次库存不足，则不允许继续出库；2.</w:t>
            </w:r>
            <w:r>
              <w:t xml:space="preserve"> </w:t>
            </w:r>
            <w:r>
              <w:rPr>
                <w:rFonts w:hint="eastAsia"/>
              </w:rPr>
              <w:t xml:space="preserve">领错料或补料原因不明时，需要补充说明并保留记录</w:t>
            </w:r>
          </w:p>
        </w:tc>
      </w:tr>
      <w:tr>
        <w:tc>
          <w:tcPr/>
          <w:p>
            <w:pPr>
              <w:pStyle w:val="Compact"/>
            </w:pPr>
            <w:r>
              <w:rPr>
                <w:rFonts w:hint="eastAsia"/>
              </w:rPr>
              <w:t xml:space="preserve">后置条件</w:t>
            </w:r>
          </w:p>
        </w:tc>
        <w:tc>
          <w:tcPr/>
          <w:p>
            <w:pPr>
              <w:pStyle w:val="Compact"/>
            </w:pPr>
            <w:r>
              <w:rPr>
                <w:rFonts w:hint="eastAsia"/>
              </w:rPr>
              <w:t xml:space="preserve">领料、补料和生产任务形成可追溯关系；库存数量同步更新</w:t>
            </w:r>
          </w:p>
        </w:tc>
      </w:tr>
    </w:tbl>
    <w:p>
      <w:pPr>
        <w:pStyle w:val="BodyText"/>
      </w:pPr>
      <w:r>
        <w:rPr>
          <w:rFonts w:hint="eastAsia"/>
        </w:rPr>
        <w:t xml:space="preserve">为了进一步说明这两个关键业务在系统中的流转逻辑，本文又分别绘制了活动图。采购入库与来料检验活动图如图3-5所示，该图重点反映“到货登记</w:t>
      </w:r>
      <w:r>
        <w:t xml:space="preserve"> - </w:t>
      </w:r>
      <w:r>
        <w:rPr>
          <w:rFonts w:hint="eastAsia"/>
        </w:rPr>
        <w:t xml:space="preserve">来料检验</w:t>
      </w:r>
      <w:r>
        <w:t xml:space="preserve"> - </w:t>
      </w:r>
      <w:r>
        <w:rPr>
          <w:rFonts w:hint="eastAsia"/>
        </w:rPr>
        <w:t xml:space="preserve">是否合格</w:t>
      </w:r>
      <w:r>
        <w:t xml:space="preserve"> - </w:t>
      </w:r>
      <w:r>
        <w:rPr>
          <w:rFonts w:hint="eastAsia"/>
        </w:rPr>
        <w:t xml:space="preserve">正式入库/待补录”这条链路，适合对应采购与质检之间的协同需求。</w:t>
      </w:r>
      <w:r>
        <w:br/>
      </w:r>
      <w:r>
        <w:rPr>
          <w:rFonts w:hint="eastAsia"/>
        </w:rPr>
        <w:t xml:space="preserve">见图3-5</w:t>
      </w:r>
      <w:r>
        <w:t xml:space="preserve"> </w:t>
      </w:r>
      <w:hyperlink r:id="rId31">
        <w:r>
          <w:rPr>
            <w:rStyle w:val="Hyperlink"/>
            <w:rFonts w:hint="eastAsia"/>
          </w:rPr>
          <w:t xml:space="preserve">图3-5_采购入库与来料检验活动图.svg</w:t>
        </w:r>
      </w:hyperlink>
      <w:r>
        <w:t xml:space="preserve">。</w:t>
      </w:r>
    </w:p>
    <w:p>
      <w:pPr>
        <w:pStyle w:val="BodyText"/>
      </w:pPr>
      <w:r>
        <w:rPr>
          <w:rFonts w:hint="eastAsia"/>
        </w:rPr>
        <w:t xml:space="preserve">生产领料与补料活动图如图3-6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见图3-6</w:t>
      </w:r>
      <w:r>
        <w:t xml:space="preserve"> </w:t>
      </w:r>
      <w:hyperlink r:id="rId32">
        <w:r>
          <w:rPr>
            <w:rStyle w:val="Hyperlink"/>
            <w:rFonts w:hint="eastAsia"/>
          </w:rPr>
          <w:t xml:space="preserve">图3-6_生产领料与补料活动图.svg</w:t>
        </w:r>
      </w:hyperlink>
      <w:r>
        <w:t xml:space="preserve">。</w:t>
      </w:r>
    </w:p>
    <w:bookmarkEnd w:id="33"/>
    <w:bookmarkEnd w:id="34"/>
    <w:bookmarkStart w:id="35"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35"/>
    <w:bookmarkStart w:id="42"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36"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36"/>
    <w:bookmarkStart w:id="37"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37"/>
    <w:bookmarkStart w:id="38"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38"/>
    <w:bookmarkStart w:id="39"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39"/>
    <w:bookmarkStart w:id="40"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40"/>
    <w:bookmarkStart w:id="41"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为了使非功能需求更清晰，表3-5对当前论文范围内最关键的非功能需求进行归纳。</w:t>
      </w:r>
    </w:p>
    <w:p>
      <w:pPr>
        <w:pStyle w:val="BodyText"/>
      </w:pPr>
      <w:r>
        <w:rPr>
          <w:rFonts w:hint="eastAsia"/>
        </w:rPr>
        <w:t xml:space="preserve">表3-5</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41"/>
    <w:bookmarkEnd w:id="42"/>
    <w:bookmarkStart w:id="43"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r>
        <w:rPr>
          <w:rFonts w:hint="eastAsia"/>
        </w:rPr>
        <w:t xml:space="preserve">说明：可直接依据你现有调研图整理，用于展示销售、PMC、研发、采购、生产、质检和仓储之间的流程关系。</w:t>
      </w:r>
    </w:p>
    <w:p>
      <w:pPr>
        <w:pStyle w:val="Compact"/>
        <w:numPr>
          <w:ilvl w:val="0"/>
          <w:numId w:val="1001"/>
        </w:numPr>
      </w:pPr>
      <w:r>
        <w:rPr>
          <w:rFonts w:hint="eastAsia"/>
        </w:rPr>
        <w:t xml:space="preserve">图</w:t>
      </w:r>
      <w:r>
        <w:t xml:space="preserve"> 3-2 </w:t>
      </w:r>
      <w:r>
        <w:rPr>
          <w:rFonts w:hint="eastAsia"/>
        </w:rPr>
        <w:t xml:space="preserve">系统核心角色用例图。</w:t>
      </w:r>
      <w:r>
        <w:br/>
      </w:r>
      <w:r>
        <w:rPr>
          <w:rFonts w:hint="eastAsia"/>
        </w:rPr>
        <w:t xml:space="preserve">说明：建议按“销售/PMC/采购/仓管/生产主管/质检/管理员”绘制，突出各角色与模块的关系。</w:t>
      </w:r>
    </w:p>
    <w:p>
      <w:pPr>
        <w:pStyle w:val="Compact"/>
        <w:numPr>
          <w:ilvl w:val="0"/>
          <w:numId w:val="1001"/>
        </w:numPr>
      </w:pPr>
      <w:r>
        <w:rPr>
          <w:rFonts w:hint="eastAsia"/>
        </w:rPr>
        <w:t xml:space="preserve">图</w:t>
      </w:r>
      <w:r>
        <w:t xml:space="preserve"> 3-3 </w:t>
      </w:r>
      <w:r>
        <w:rPr>
          <w:rFonts w:hint="eastAsia"/>
        </w:rPr>
        <w:t xml:space="preserve">质量、追溯与经营管理用例图。</w:t>
      </w:r>
      <w:r>
        <w:br/>
      </w:r>
      <w:r>
        <w:rPr>
          <w:rFonts w:hint="eastAsia"/>
        </w:rPr>
        <w:t xml:space="preserve">说明：可体现质检、追溯、审批和经营查看等角色的需求分布。</w:t>
      </w:r>
    </w:p>
    <w:p>
      <w:pPr>
        <w:pStyle w:val="Compact"/>
        <w:numPr>
          <w:ilvl w:val="0"/>
          <w:numId w:val="1001"/>
        </w:numPr>
      </w:pPr>
      <w:r>
        <w:rPr>
          <w:rFonts w:hint="eastAsia"/>
        </w:rPr>
        <w:t xml:space="preserve">图</w:t>
      </w:r>
      <w:r>
        <w:t xml:space="preserve"> 3-4 </w:t>
      </w:r>
      <w:r>
        <w:rPr>
          <w:rFonts w:hint="eastAsia"/>
        </w:rPr>
        <w:t xml:space="preserve">系统总体功能结构图。</w:t>
      </w:r>
      <w:r>
        <w:br/>
      </w:r>
      <w:r>
        <w:rPr>
          <w:rFonts w:hint="eastAsia"/>
        </w:rPr>
        <w:t xml:space="preserve">说明：从模块层面概括系统当前论文范围内的主要功能域。</w:t>
      </w:r>
    </w:p>
    <w:p>
      <w:pPr>
        <w:pStyle w:val="Compact"/>
        <w:numPr>
          <w:ilvl w:val="0"/>
          <w:numId w:val="1001"/>
        </w:numPr>
      </w:pPr>
      <w:r>
        <w:rPr>
          <w:rFonts w:hint="eastAsia"/>
        </w:rPr>
        <w:t xml:space="preserve">图</w:t>
      </w:r>
      <w:r>
        <w:t xml:space="preserve"> 3-5 </w:t>
      </w:r>
      <w:r>
        <w:rPr>
          <w:rFonts w:hint="eastAsia"/>
        </w:rPr>
        <w:t xml:space="preserve">采购入库与来料检验活动图。</w:t>
      </w:r>
      <w:r>
        <w:br/>
      </w:r>
      <w:r>
        <w:rPr>
          <w:rFonts w:hint="eastAsia"/>
        </w:rPr>
        <w:t xml:space="preserve">说明：重点体现采购需求、采购订单、来料检验、采购入库之间的关系。</w:t>
      </w:r>
    </w:p>
    <w:p>
      <w:pPr>
        <w:pStyle w:val="Compact"/>
        <w:numPr>
          <w:ilvl w:val="0"/>
          <w:numId w:val="1001"/>
        </w:numPr>
      </w:pPr>
      <w:r>
        <w:rPr>
          <w:rFonts w:hint="eastAsia"/>
        </w:rPr>
        <w:t xml:space="preserve">图</w:t>
      </w:r>
      <w:r>
        <w:t xml:space="preserve"> 3-6 </w:t>
      </w:r>
      <w:r>
        <w:rPr>
          <w:rFonts w:hint="eastAsia"/>
        </w:rPr>
        <w:t xml:space="preserve">生产领料与补料活动图。</w:t>
      </w:r>
      <w:r>
        <w:br/>
      </w:r>
      <w:r>
        <w:rPr>
          <w:rFonts w:hint="eastAsia"/>
        </w:rPr>
        <w:t xml:space="preserve">说明：这是本项目比较有特色的业务图，建议重点画出来。</w:t>
      </w:r>
    </w:p>
    <w:p>
      <w:pPr>
        <w:pStyle w:val="Compact"/>
        <w:numPr>
          <w:ilvl w:val="0"/>
          <w:numId w:val="1001"/>
        </w:numPr>
      </w:pPr>
      <w:r>
        <w:rPr>
          <w:rFonts w:hint="eastAsia"/>
        </w:rPr>
        <w:t xml:space="preserve">图</w:t>
      </w:r>
      <w:r>
        <w:t xml:space="preserve"> 3-7 </w:t>
      </w:r>
      <w:r>
        <w:rPr>
          <w:rFonts w:hint="eastAsia"/>
        </w:rPr>
        <w:t xml:space="preserve">销售出库与发货活动图。</w:t>
      </w:r>
      <w:r>
        <w:br/>
      </w:r>
      <w:r>
        <w:rPr>
          <w:rFonts w:hint="eastAsia"/>
        </w:rPr>
        <w:t xml:space="preserve">说明：体现销售发货通知、仓库备货、出货检验、销售出库和物流信息登记过程。</w:t>
      </w:r>
    </w:p>
    <w:p>
      <w:pPr>
        <w:pStyle w:val="Compact"/>
        <w:numPr>
          <w:ilvl w:val="0"/>
          <w:numId w:val="1001"/>
        </w:numPr>
      </w:pPr>
      <w:r>
        <w:rPr>
          <w:rFonts w:hint="eastAsia"/>
        </w:rPr>
        <w:t xml:space="preserve">表</w:t>
      </w:r>
      <w:r>
        <w:t xml:space="preserve"> 3-2 </w:t>
      </w:r>
      <w:r>
        <w:rPr>
          <w:rFonts w:hint="eastAsia"/>
        </w:rPr>
        <w:t xml:space="preserve">核心功能需求一览表。</w:t>
      </w:r>
      <w:r>
        <w:br/>
      </w:r>
      <w:r>
        <w:rPr>
          <w:rFonts w:hint="eastAsia"/>
        </w:rPr>
        <w:t xml:space="preserve">说明：可按模块、功能点、涉及角色、需求说明四列整理。</w:t>
      </w:r>
    </w:p>
    <w:p>
      <w:pPr>
        <w:pStyle w:val="Compact"/>
        <w:numPr>
          <w:ilvl w:val="0"/>
          <w:numId w:val="1001"/>
        </w:numPr>
      </w:pPr>
      <w:r>
        <w:rPr>
          <w:rFonts w:hint="eastAsia"/>
        </w:rPr>
        <w:t xml:space="preserve">表</w:t>
      </w:r>
      <w:r>
        <w:t xml:space="preserve"> 3-5 </w:t>
      </w:r>
      <w:r>
        <w:rPr>
          <w:rFonts w:hint="eastAsia"/>
        </w:rPr>
        <w:t xml:space="preserve">非功能需求表。</w:t>
      </w:r>
      <w:r>
        <w:br/>
      </w:r>
      <w:r>
        <w:rPr>
          <w:rFonts w:hint="eastAsia"/>
        </w:rPr>
        <w:t xml:space="preserve">说明：可从性能、安全、可靠性、可追溯性、可扩展性等方面整理。</w:t>
      </w:r>
    </w:p>
    <w:bookmarkEnd w:id="43"/>
    <w:bookmarkStart w:id="44" w:name="本章小结"/>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ome/lzr/eiscore/docs/diagrams/&#22270;3-2_EISCore&#26680;&#24515;&#19994;&#21153;&#29992;&#20363;&#22270;.svg" TargetMode="External" /><Relationship Type="http://schemas.openxmlformats.org/officeDocument/2006/relationships/hyperlink" Id="rId19" Target="/home/lzr/eiscore/docs/diagrams/&#22270;3-3_EISCore&#36136;&#37327;&#36861;&#28335;&#19982;&#32463;&#33829;&#31649;&#29702;&#29992;&#20363;&#22270;.svg" TargetMode="External" /><Relationship Type="http://schemas.openxmlformats.org/officeDocument/2006/relationships/hyperlink" Id="rId20" Target="/home/lzr/eiscore/docs/diagrams/&#22270;3-4_EISCore&#24635;&#20307;&#21151;&#33021;&#32467;&#26500;&#22270;.svg" TargetMode="External" /><Relationship Type="http://schemas.openxmlformats.org/officeDocument/2006/relationships/hyperlink" Id="rId31" Target="/home/lzr/eiscore/docs/diagrams/&#22270;3-5_&#37319;&#36141;&#20837;&#24211;&#19982;&#26469;&#26009;&#26816;&#39564;&#27963;&#21160;&#22270;.svg" TargetMode="External" /><Relationship Type="http://schemas.openxmlformats.org/officeDocument/2006/relationships/hyperlink" Id="rId32" Target="/home/lzr/eiscore/docs/diagrams/&#22270;3-6_&#29983;&#20135;&#39046;&#26009;&#19982;&#34917;&#26009;&#27963;&#21160;&#22270;.svg" TargetMode="External" /></Relationships>
</file>

<file path=word/_rels/footnotes.xml.rels><?xml version="1.0" encoding="UTF-8"?><Relationships xmlns="http://schemas.openxmlformats.org/package/2006/relationships"><Relationship Type="http://schemas.openxmlformats.org/officeDocument/2006/relationships/hyperlink" Id="rId18" Target="/home/lzr/eiscore/docs/diagrams/&#22270;3-2_EISCore&#26680;&#24515;&#19994;&#21153;&#29992;&#20363;&#22270;.svg" TargetMode="External" /><Relationship Type="http://schemas.openxmlformats.org/officeDocument/2006/relationships/hyperlink" Id="rId19" Target="/home/lzr/eiscore/docs/diagrams/&#22270;3-3_EISCore&#36136;&#37327;&#36861;&#28335;&#19982;&#32463;&#33829;&#31649;&#29702;&#29992;&#20363;&#22270;.svg" TargetMode="External" /><Relationship Type="http://schemas.openxmlformats.org/officeDocument/2006/relationships/hyperlink" Id="rId20" Target="/home/lzr/eiscore/docs/diagrams/&#22270;3-4_EISCore&#24635;&#20307;&#21151;&#33021;&#32467;&#26500;&#22270;.svg" TargetMode="External" /><Relationship Type="http://schemas.openxmlformats.org/officeDocument/2006/relationships/hyperlink" Id="rId31" Target="/home/lzr/eiscore/docs/diagrams/&#22270;3-5_&#37319;&#36141;&#20837;&#24211;&#19982;&#26469;&#26009;&#26816;&#39564;&#27963;&#21160;&#22270;.svg" TargetMode="External" /><Relationship Type="http://schemas.openxmlformats.org/officeDocument/2006/relationships/hyperlink" Id="rId32" Target="/home/lzr/eiscore/docs/diagrams/&#22270;3-6_&#29983;&#20135;&#39046;&#26009;&#19982;&#34917;&#26009;&#27963;&#21160;&#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2026-03-23T22:13:19Z</dcterms:created>
  <dcterms:modified xsi:type="dcterms:W3CDTF">2026-03-23T22:13:19Z</dcterms:modified>
</cp:coreProperties>
</file>

<file path=docProps/custom.xml><?xml version="1.0" encoding="utf-8"?>
<Properties xmlns="http://schemas.openxmlformats.org/officeDocument/2006/custom-properties" xmlns:vt="http://schemas.openxmlformats.org/officeDocument/2006/docPropsVTypes"/>
</file>