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第四章与第七章插图引用清单"/>
    <w:p>
      <w:pPr>
        <w:pStyle w:val="Heading1"/>
      </w:pPr>
      <w:r>
        <w:rPr>
          <w:rFonts w:hint="eastAsia"/>
        </w:rPr>
        <w:t xml:space="preserve">第四章与第七章插图引用清单</w:t>
      </w:r>
    </w:p>
    <w:p>
      <w:pPr>
        <w:pStyle w:val="FirstParagraph"/>
      </w:pPr>
      <w:r>
        <w:rPr>
          <w:rFonts w:hint="eastAsia"/>
        </w:rPr>
        <w:t xml:space="preserve">适用主稿：</w:t>
      </w:r>
      <w:r>
        <w:rPr>
          <w:rStyle w:val="VerbatimChar"/>
          <w:rFonts w:hint="eastAsia"/>
        </w:rPr>
        <w:t xml:space="preserve">毕业论文初稿v2.6_整合定稿版_2026-03-25.docx</w:t>
      </w:r>
      <w:r>
        <w:br/>
      </w:r>
      <w:r>
        <w:rPr>
          <w:rFonts w:hint="eastAsia"/>
        </w:rPr>
        <w:t xml:space="preserve">整理日期：2026-03-25</w:t>
      </w:r>
    </w:p>
    <w:bookmarkStart w:id="9" w:name="一使用说明"/>
    <w:p>
      <w:pPr>
        <w:pStyle w:val="Heading2"/>
      </w:pPr>
      <w:r>
        <w:rPr>
          <w:rFonts w:hint="eastAsia"/>
        </w:rPr>
        <w:t xml:space="preserve">一、使用说明</w:t>
      </w:r>
    </w:p>
    <w:p>
      <w:pPr>
        <w:pStyle w:val="FirstParagraph"/>
      </w:pPr>
      <w:r>
        <w:rPr>
          <w:rFonts w:hint="eastAsia"/>
        </w:rPr>
        <w:t xml:space="preserve">本清单用于指导第四章和第七章的图片插入。原则如下：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图应紧跟第一次明确提到该图内容的正文段落之后。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图题保留“图x-x</w:t>
      </w:r>
      <w:r>
        <w:t xml:space="preserve"> + </w:t>
      </w:r>
      <w:r>
        <w:rPr>
          <w:rFonts w:hint="eastAsia"/>
        </w:rPr>
        <w:t xml:space="preserve">图名”格式，居中放置。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图前正文至少应出现一次“如图x-x所示”或“见图x-x”的明确引用。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第七章截图优先保证“文字先说明功能，再给页面图”。</w:t>
      </w:r>
    </w:p>
    <w:bookmarkEnd w:id="9"/>
    <w:bookmarkStart w:id="14" w:name="二第四章插图定位"/>
    <w:p>
      <w:pPr>
        <w:pStyle w:val="Heading2"/>
      </w:pPr>
      <w:r>
        <w:rPr>
          <w:rFonts w:hint="eastAsia"/>
        </w:rPr>
        <w:t xml:space="preserve">二、第四章插图定位</w:t>
      </w:r>
    </w:p>
    <w:bookmarkStart w:id="10" w:name="图4-1-eiscore系统总体架构图"/>
    <w:p>
      <w:pPr>
        <w:pStyle w:val="Heading3"/>
      </w:pPr>
      <w:r>
        <w:rPr>
          <w:rFonts w:hint="eastAsia"/>
        </w:rPr>
        <w:t xml:space="preserve">图4-1</w:t>
      </w:r>
      <w:r>
        <w:t xml:space="preserve"> </w:t>
      </w:r>
      <w:r>
        <w:rPr>
          <w:rFonts w:hint="eastAsia"/>
        </w:rPr>
        <w:t xml:space="preserve">EISCore系统总体架构图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建议插入位置：</w:t>
      </w:r>
      <w:r>
        <w:rPr>
          <w:rStyle w:val="VerbatimChar"/>
        </w:rPr>
        <w:t xml:space="preserve">4.3 </w:t>
      </w:r>
      <w:r>
        <w:rPr>
          <w:rStyle w:val="VerbatimChar"/>
          <w:rFonts w:hint="eastAsia"/>
        </w:rPr>
        <w:t xml:space="preserve">系统总体架构设计</w:t>
      </w:r>
      <w:r>
        <w:t xml:space="preserve"> </w:t>
      </w:r>
      <w:r>
        <w:rPr>
          <w:rFonts w:hint="eastAsia"/>
        </w:rPr>
        <w:t xml:space="preserve">第一段之后。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03"/>
        </w:numPr>
      </w:pPr>
      <w:r>
        <w:t xml:space="preserve">“EISCore </w:t>
      </w:r>
      <w:r>
        <w:rPr>
          <w:rFonts w:hint="eastAsia"/>
        </w:rPr>
        <w:t xml:space="preserve">采用分层架构设计，自上而下包括用户访问层、前端表现层、接口与运行层、数据与治理层以及支撑环境层，系统总体结构如图4-1所示。”</w:t>
      </w:r>
    </w:p>
    <w:bookmarkEnd w:id="10"/>
    <w:bookmarkStart w:id="11" w:name="图4-2-eiscore功能模块划分图"/>
    <w:p>
      <w:pPr>
        <w:pStyle w:val="Heading3"/>
      </w:pPr>
      <w:r>
        <w:rPr>
          <w:rFonts w:hint="eastAsia"/>
        </w:rPr>
        <w:t xml:space="preserve">图4-2</w:t>
      </w:r>
      <w:r>
        <w:t xml:space="preserve"> </w:t>
      </w:r>
      <w:r>
        <w:rPr>
          <w:rFonts w:hint="eastAsia"/>
        </w:rPr>
        <w:t xml:space="preserve">EISCore功能模块划分图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建议插入位置：</w:t>
      </w:r>
      <w:r>
        <w:rPr>
          <w:rStyle w:val="VerbatimChar"/>
        </w:rPr>
        <w:t xml:space="preserve">4.4 </w:t>
      </w:r>
      <w:r>
        <w:rPr>
          <w:rStyle w:val="VerbatimChar"/>
          <w:rFonts w:hint="eastAsia"/>
        </w:rPr>
        <w:t xml:space="preserve">功能模块划分</w:t>
      </w:r>
      <w:r>
        <w:t xml:space="preserve"> </w:t>
      </w:r>
      <w:r>
        <w:rPr>
          <w:rFonts w:hint="eastAsia"/>
        </w:rPr>
        <w:t xml:space="preserve">开头总述段之后。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“从当前论文项目的实现范围来看，EISCore</w:t>
      </w:r>
      <w:r>
        <w:t xml:space="preserve"> </w:t>
      </w:r>
      <w:r>
        <w:rPr>
          <w:rFonts w:hint="eastAsia"/>
        </w:rPr>
        <w:t xml:space="preserve">主要划分为基础平台、人事管理、物料管理、应用中心、移动端、数据与权限支撑以及轻量化语义等部分，模块划分如图4-2所示。”</w:t>
      </w:r>
    </w:p>
    <w:bookmarkEnd w:id="11"/>
    <w:bookmarkStart w:id="12" w:name="图4-3-eiscore技术组织关系图"/>
    <w:p>
      <w:pPr>
        <w:pStyle w:val="Heading3"/>
      </w:pPr>
      <w:r>
        <w:rPr>
          <w:rFonts w:hint="eastAsia"/>
        </w:rPr>
        <w:t xml:space="preserve">图4-3</w:t>
      </w:r>
      <w:r>
        <w:t xml:space="preserve"> </w:t>
      </w:r>
      <w:r>
        <w:rPr>
          <w:rFonts w:hint="eastAsia"/>
        </w:rPr>
        <w:t xml:space="preserve">EISCore技术组织关系图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建议插入位置：</w:t>
      </w:r>
      <w:r>
        <w:rPr>
          <w:rStyle w:val="VerbatimChar"/>
        </w:rPr>
        <w:t xml:space="preserve">4.5.5 </w:t>
      </w:r>
      <w:r>
        <w:rPr>
          <w:rStyle w:val="VerbatimChar"/>
          <w:rFonts w:hint="eastAsia"/>
        </w:rPr>
        <w:t xml:space="preserve">关键技术组织关系</w:t>
      </w:r>
      <w:r>
        <w:t xml:space="preserve"> </w:t>
      </w:r>
      <w:r>
        <w:rPr>
          <w:rFonts w:hint="eastAsia"/>
        </w:rPr>
        <w:t xml:space="preserve">第一段之后。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“图4-3展示了前端组织、界面交互、移动端入口、接口层、数据库底座、流程支撑、语义增强与权限治理之间的关系。”</w:t>
      </w:r>
    </w:p>
    <w:bookmarkEnd w:id="12"/>
    <w:bookmarkStart w:id="13" w:name="图4-4-闪念应用智能体与轻量语义联动图"/>
    <w:p>
      <w:pPr>
        <w:pStyle w:val="Heading3"/>
      </w:pPr>
      <w:r>
        <w:rPr>
          <w:rFonts w:hint="eastAsia"/>
        </w:rPr>
        <w:t xml:space="preserve">图4-4</w:t>
      </w:r>
      <w:r>
        <w:t xml:space="preserve"> </w:t>
      </w:r>
      <w:r>
        <w:rPr>
          <w:rFonts w:hint="eastAsia"/>
        </w:rPr>
        <w:t xml:space="preserve">闪念应用智能体与轻量语义联动图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建议插入位置：</w:t>
      </w:r>
      <w:r>
        <w:rPr>
          <w:rStyle w:val="VerbatimChar"/>
        </w:rPr>
        <w:t xml:space="preserve">4.5.6 </w:t>
      </w:r>
      <w:r>
        <w:rPr>
          <w:rStyle w:val="VerbatimChar"/>
          <w:rFonts w:hint="eastAsia"/>
        </w:rPr>
        <w:t xml:space="preserve">闪念应用、智能体与语义联动设计</w:t>
      </w:r>
      <w:r>
        <w:t xml:space="preserve"> </w:t>
      </w:r>
      <w:r>
        <w:rPr>
          <w:rFonts w:hint="eastAsia"/>
        </w:rPr>
        <w:t xml:space="preserve">第一段之后。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“图4-4展示了</w:t>
      </w:r>
      <w:r>
        <w:t xml:space="preserve"> FlashBuilder、Agent </w:t>
      </w:r>
      <w:r>
        <w:rPr>
          <w:rFonts w:hint="eastAsia"/>
        </w:rPr>
        <w:t xml:space="preserve">Runtime、白名单工具、数据表格应用、流程对象和轻量语义之间的组织关系。”</w:t>
      </w:r>
    </w:p>
    <w:bookmarkEnd w:id="13"/>
    <w:bookmarkEnd w:id="14"/>
    <w:bookmarkStart w:id="41" w:name="三第七章插图定位"/>
    <w:p>
      <w:pPr>
        <w:pStyle w:val="Heading2"/>
      </w:pPr>
      <w:r>
        <w:rPr>
          <w:rFonts w:hint="eastAsia"/>
        </w:rPr>
        <w:t xml:space="preserve">三、第七章插图定位</w:t>
      </w:r>
    </w:p>
    <w:bookmarkStart w:id="15" w:name="图7-1-系统基座首页截图"/>
    <w:p>
      <w:pPr>
        <w:pStyle w:val="Heading3"/>
      </w:pPr>
      <w:r>
        <w:rPr>
          <w:rFonts w:hint="eastAsia"/>
        </w:rPr>
        <w:t xml:space="preserve">图7-1</w:t>
      </w:r>
      <w:r>
        <w:t xml:space="preserve"> </w:t>
      </w:r>
      <w:r>
        <w:rPr>
          <w:rFonts w:hint="eastAsia"/>
        </w:rPr>
        <w:t xml:space="preserve">系统基座首页截图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7.2 </w:t>
      </w:r>
      <w:r>
        <w:rPr>
          <w:rStyle w:val="VerbatimChar"/>
          <w:rFonts w:hint="eastAsia"/>
        </w:rPr>
        <w:t xml:space="preserve">基座与系统入口实现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建议插入位置：第二段之后。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“系统基座首页如图7-1所示，该页面承担了统一入口和菜单导航作用。”</w:t>
      </w:r>
    </w:p>
    <w:bookmarkEnd w:id="15"/>
    <w:bookmarkStart w:id="16" w:name="图7-2-微前端子应用入口截图"/>
    <w:p>
      <w:pPr>
        <w:pStyle w:val="Heading3"/>
      </w:pPr>
      <w:r>
        <w:rPr>
          <w:rFonts w:hint="eastAsia"/>
        </w:rPr>
        <w:t xml:space="preserve">图7-2</w:t>
      </w:r>
      <w:r>
        <w:t xml:space="preserve"> </w:t>
      </w:r>
      <w:r>
        <w:rPr>
          <w:rFonts w:hint="eastAsia"/>
        </w:rPr>
        <w:t xml:space="preserve">微前端子应用入口截图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7.2 </w:t>
      </w:r>
      <w:r>
        <w:rPr>
          <w:rStyle w:val="VerbatimChar"/>
          <w:rFonts w:hint="eastAsia"/>
        </w:rPr>
        <w:t xml:space="preserve">基座与系统入口实现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建议插入位置：图7-1之后。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“子应用入口界面如图7-2所示，可反映人事、物料和应用中心等模块在基座中的组织方式。”</w:t>
      </w:r>
    </w:p>
    <w:bookmarkEnd w:id="16"/>
    <w:bookmarkStart w:id="17" w:name="图7-3-员工档案管理页面截图"/>
    <w:p>
      <w:pPr>
        <w:pStyle w:val="Heading3"/>
      </w:pPr>
      <w:r>
        <w:rPr>
          <w:rFonts w:hint="eastAsia"/>
        </w:rPr>
        <w:t xml:space="preserve">图7-3</w:t>
      </w:r>
      <w:r>
        <w:t xml:space="preserve"> </w:t>
      </w:r>
      <w:r>
        <w:rPr>
          <w:rFonts w:hint="eastAsia"/>
        </w:rPr>
        <w:t xml:space="preserve">员工档案管理页面截图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7.3.1 </w:t>
      </w:r>
      <w:r>
        <w:rPr>
          <w:rStyle w:val="VerbatimChar"/>
          <w:rFonts w:hint="eastAsia"/>
        </w:rPr>
        <w:t xml:space="preserve">员工档案与组织管理实现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“员工档案管理页面如图7-3所示。”</w:t>
      </w:r>
    </w:p>
    <w:bookmarkEnd w:id="17"/>
    <w:bookmarkStart w:id="18" w:name="图7-4-组织结构页面截图"/>
    <w:p>
      <w:pPr>
        <w:pStyle w:val="Heading3"/>
      </w:pPr>
      <w:r>
        <w:rPr>
          <w:rFonts w:hint="eastAsia"/>
        </w:rPr>
        <w:t xml:space="preserve">图7-4</w:t>
      </w:r>
      <w:r>
        <w:t xml:space="preserve"> </w:t>
      </w:r>
      <w:r>
        <w:rPr>
          <w:rFonts w:hint="eastAsia"/>
        </w:rPr>
        <w:t xml:space="preserve">组织结构页面截图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7.3.1 </w:t>
      </w:r>
      <w:r>
        <w:rPr>
          <w:rStyle w:val="VerbatimChar"/>
          <w:rFonts w:hint="eastAsia"/>
        </w:rPr>
        <w:t xml:space="preserve">员工档案与组织管理实现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“组织结构页面如图7-4所示，能够展示部门层级和岗位归属关系。”</w:t>
      </w:r>
    </w:p>
    <w:bookmarkEnd w:id="18"/>
    <w:bookmarkStart w:id="19" w:name="图7-5-用户管理页面截图"/>
    <w:p>
      <w:pPr>
        <w:pStyle w:val="Heading3"/>
      </w:pPr>
      <w:r>
        <w:rPr>
          <w:rFonts w:hint="eastAsia"/>
        </w:rPr>
        <w:t xml:space="preserve">图7-5</w:t>
      </w:r>
      <w:r>
        <w:t xml:space="preserve"> </w:t>
      </w:r>
      <w:r>
        <w:rPr>
          <w:rFonts w:hint="eastAsia"/>
        </w:rPr>
        <w:t xml:space="preserve">用户管理页面截图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7.3.1 </w:t>
      </w:r>
      <w:r>
        <w:rPr>
          <w:rStyle w:val="VerbatimChar"/>
          <w:rFonts w:hint="eastAsia"/>
        </w:rPr>
        <w:t xml:space="preserve">员工档案与组织管理实现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“用户管理页面如图7-5所示，可用于维护账号、岗位和角色绑定。”</w:t>
      </w:r>
    </w:p>
    <w:bookmarkEnd w:id="19"/>
    <w:bookmarkStart w:id="20" w:name="图7-6-考勤页面截图"/>
    <w:p>
      <w:pPr>
        <w:pStyle w:val="Heading3"/>
      </w:pPr>
      <w:r>
        <w:rPr>
          <w:rFonts w:hint="eastAsia"/>
        </w:rPr>
        <w:t xml:space="preserve">图7-6</w:t>
      </w:r>
      <w:r>
        <w:t xml:space="preserve"> </w:t>
      </w:r>
      <w:r>
        <w:rPr>
          <w:rFonts w:hint="eastAsia"/>
        </w:rPr>
        <w:t xml:space="preserve">考勤页面截图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7.3.2 </w:t>
      </w:r>
      <w:r>
        <w:rPr>
          <w:rStyle w:val="VerbatimChar"/>
          <w:rFonts w:hint="eastAsia"/>
        </w:rPr>
        <w:t xml:space="preserve">考勤功能实现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“考勤页面如图7-6所示。”</w:t>
      </w:r>
    </w:p>
    <w:bookmarkEnd w:id="20"/>
    <w:bookmarkStart w:id="21" w:name="图7-7-物料管理页面截图"/>
    <w:p>
      <w:pPr>
        <w:pStyle w:val="Heading3"/>
      </w:pPr>
      <w:r>
        <w:rPr>
          <w:rFonts w:hint="eastAsia"/>
        </w:rPr>
        <w:t xml:space="preserve">图7-7</w:t>
      </w:r>
      <w:r>
        <w:t xml:space="preserve"> </w:t>
      </w:r>
      <w:r>
        <w:rPr>
          <w:rFonts w:hint="eastAsia"/>
        </w:rPr>
        <w:t xml:space="preserve">物料管理页面截图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7.4.1 </w:t>
      </w:r>
      <w:r>
        <w:rPr>
          <w:rStyle w:val="VerbatimChar"/>
          <w:rFonts w:hint="eastAsia"/>
        </w:rPr>
        <w:t xml:space="preserve">物料主数据与仓库管理实现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“物料管理页面如图7-7所示。”</w:t>
      </w:r>
    </w:p>
    <w:bookmarkEnd w:id="21"/>
    <w:bookmarkStart w:id="22" w:name="图7-8-仓库管理页面截图"/>
    <w:p>
      <w:pPr>
        <w:pStyle w:val="Heading3"/>
      </w:pPr>
      <w:r>
        <w:rPr>
          <w:rFonts w:hint="eastAsia"/>
        </w:rPr>
        <w:t xml:space="preserve">图7-8</w:t>
      </w:r>
      <w:r>
        <w:t xml:space="preserve"> </w:t>
      </w:r>
      <w:r>
        <w:rPr>
          <w:rFonts w:hint="eastAsia"/>
        </w:rPr>
        <w:t xml:space="preserve">仓库管理页面截图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7.4.1 </w:t>
      </w:r>
      <w:r>
        <w:rPr>
          <w:rStyle w:val="VerbatimChar"/>
          <w:rFonts w:hint="eastAsia"/>
        </w:rPr>
        <w:t xml:space="preserve">物料主数据与仓库管理实现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“仓库管理页面如图7-8所示，可展示仓库、库区和库位层级。”</w:t>
      </w:r>
    </w:p>
    <w:bookmarkEnd w:id="22"/>
    <w:bookmarkStart w:id="23" w:name="图7-9-库存台账页面截图"/>
    <w:p>
      <w:pPr>
        <w:pStyle w:val="Heading3"/>
      </w:pPr>
      <w:r>
        <w:rPr>
          <w:rFonts w:hint="eastAsia"/>
        </w:rPr>
        <w:t xml:space="preserve">图7-9</w:t>
      </w:r>
      <w:r>
        <w:t xml:space="preserve"> </w:t>
      </w:r>
      <w:r>
        <w:rPr>
          <w:rFonts w:hint="eastAsia"/>
        </w:rPr>
        <w:t xml:space="preserve">库存台账页面截图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7.4.2 </w:t>
      </w:r>
      <w:r>
        <w:rPr>
          <w:rStyle w:val="VerbatimChar"/>
          <w:rFonts w:hint="eastAsia"/>
        </w:rPr>
        <w:t xml:space="preserve">库存台账与实时库存实现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“库存台账页面如图7-9所示。”</w:t>
      </w:r>
    </w:p>
    <w:bookmarkEnd w:id="23"/>
    <w:bookmarkStart w:id="24" w:name="图7-10-实时库存页面截图"/>
    <w:p>
      <w:pPr>
        <w:pStyle w:val="Heading3"/>
      </w:pPr>
      <w:r>
        <w:rPr>
          <w:rFonts w:hint="eastAsia"/>
        </w:rPr>
        <w:t xml:space="preserve">图7-10</w:t>
      </w:r>
      <w:r>
        <w:t xml:space="preserve"> </w:t>
      </w:r>
      <w:r>
        <w:rPr>
          <w:rFonts w:hint="eastAsia"/>
        </w:rPr>
        <w:t xml:space="preserve">实时库存页面截图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7.4.2 </w:t>
      </w:r>
      <w:r>
        <w:rPr>
          <w:rStyle w:val="VerbatimChar"/>
          <w:rFonts w:hint="eastAsia"/>
        </w:rPr>
        <w:t xml:space="preserve">库存台账与实时库存实现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“实时库存页面如图7-10所示，可展示物料在不同批次和仓位下的库存分布。”</w:t>
      </w:r>
    </w:p>
    <w:bookmarkEnd w:id="24"/>
    <w:bookmarkStart w:id="25" w:name="图7-11-入库页面截图"/>
    <w:p>
      <w:pPr>
        <w:pStyle w:val="Heading3"/>
      </w:pPr>
      <w:r>
        <w:rPr>
          <w:rFonts w:hint="eastAsia"/>
        </w:rPr>
        <w:t xml:space="preserve">图7-11</w:t>
      </w:r>
      <w:r>
        <w:t xml:space="preserve"> </w:t>
      </w:r>
      <w:r>
        <w:rPr>
          <w:rFonts w:hint="eastAsia"/>
        </w:rPr>
        <w:t xml:space="preserve">入库页面截图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7.4.3 </w:t>
      </w:r>
      <w:r>
        <w:rPr>
          <w:rStyle w:val="VerbatimChar"/>
          <w:rFonts w:hint="eastAsia"/>
        </w:rPr>
        <w:t xml:space="preserve">入库与出库功能实现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“入库页面如图7-11所示。”</w:t>
      </w:r>
    </w:p>
    <w:bookmarkEnd w:id="25"/>
    <w:bookmarkStart w:id="26" w:name="图7-12-出库页面截图"/>
    <w:p>
      <w:pPr>
        <w:pStyle w:val="Heading3"/>
      </w:pPr>
      <w:r>
        <w:rPr>
          <w:rFonts w:hint="eastAsia"/>
        </w:rPr>
        <w:t xml:space="preserve">图7-12</w:t>
      </w:r>
      <w:r>
        <w:t xml:space="preserve"> </w:t>
      </w:r>
      <w:r>
        <w:rPr>
          <w:rFonts w:hint="eastAsia"/>
        </w:rPr>
        <w:t xml:space="preserve">出库页面截图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7.4.3 </w:t>
      </w:r>
      <w:r>
        <w:rPr>
          <w:rStyle w:val="VerbatimChar"/>
          <w:rFonts w:hint="eastAsia"/>
        </w:rPr>
        <w:t xml:space="preserve">入库与出库功能实现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“出库页面如图7-12所示，可在出库前展示批次库存分布情况。”</w:t>
      </w:r>
    </w:p>
    <w:bookmarkEnd w:id="26"/>
    <w:bookmarkStart w:id="27" w:name="图7-13-盘点总览页面截图"/>
    <w:p>
      <w:pPr>
        <w:pStyle w:val="Heading3"/>
      </w:pPr>
      <w:r>
        <w:rPr>
          <w:rFonts w:hint="eastAsia"/>
        </w:rPr>
        <w:t xml:space="preserve">图7-13</w:t>
      </w:r>
      <w:r>
        <w:t xml:space="preserve"> </w:t>
      </w:r>
      <w:r>
        <w:rPr>
          <w:rFonts w:hint="eastAsia"/>
        </w:rPr>
        <w:t xml:space="preserve">盘点总览页面截图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7.4.4 </w:t>
      </w:r>
      <w:r>
        <w:rPr>
          <w:rStyle w:val="VerbatimChar"/>
          <w:rFonts w:hint="eastAsia"/>
        </w:rPr>
        <w:t xml:space="preserve">盘点与批次规则实现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“盘点总览页面如图7-13所示。”</w:t>
      </w:r>
    </w:p>
    <w:bookmarkEnd w:id="27"/>
    <w:bookmarkStart w:id="28" w:name="图7-14-批次号规则管理页面截图"/>
    <w:p>
      <w:pPr>
        <w:pStyle w:val="Heading3"/>
      </w:pPr>
      <w:r>
        <w:rPr>
          <w:rFonts w:hint="eastAsia"/>
        </w:rPr>
        <w:t xml:space="preserve">图7-14</w:t>
      </w:r>
      <w:r>
        <w:t xml:space="preserve"> </w:t>
      </w:r>
      <w:r>
        <w:rPr>
          <w:rFonts w:hint="eastAsia"/>
        </w:rPr>
        <w:t xml:space="preserve">批次号规则管理页面截图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7.4.4 </w:t>
      </w:r>
      <w:r>
        <w:rPr>
          <w:rStyle w:val="VerbatimChar"/>
          <w:rFonts w:hint="eastAsia"/>
        </w:rPr>
        <w:t xml:space="preserve">盘点与批次规则实现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“批次号规则管理页面如图7-14所示。”</w:t>
      </w:r>
    </w:p>
    <w:bookmarkEnd w:id="28"/>
    <w:bookmarkStart w:id="29" w:name="图7-15-应用中心首页截图"/>
    <w:p>
      <w:pPr>
        <w:pStyle w:val="Heading3"/>
      </w:pPr>
      <w:r>
        <w:rPr>
          <w:rFonts w:hint="eastAsia"/>
        </w:rPr>
        <w:t xml:space="preserve">图7-15</w:t>
      </w:r>
      <w:r>
        <w:t xml:space="preserve"> </w:t>
      </w:r>
      <w:r>
        <w:rPr>
          <w:rFonts w:hint="eastAsia"/>
        </w:rPr>
        <w:t xml:space="preserve">应用中心首页截图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7.5.1 </w:t>
      </w:r>
      <w:r>
        <w:rPr>
          <w:rStyle w:val="VerbatimChar"/>
          <w:rFonts w:hint="eastAsia"/>
        </w:rPr>
        <w:t xml:space="preserve">应用中心首页与数据应用配置实现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“应用中心首页如图7-15所示。”</w:t>
      </w:r>
    </w:p>
    <w:bookmarkEnd w:id="29"/>
    <w:bookmarkStart w:id="30" w:name="图7-16-数据应用配置页面截图"/>
    <w:p>
      <w:pPr>
        <w:pStyle w:val="Heading3"/>
      </w:pPr>
      <w:r>
        <w:rPr>
          <w:rFonts w:hint="eastAsia"/>
        </w:rPr>
        <w:t xml:space="preserve">图7-16</w:t>
      </w:r>
      <w:r>
        <w:t xml:space="preserve"> </w:t>
      </w:r>
      <w:r>
        <w:rPr>
          <w:rFonts w:hint="eastAsia"/>
        </w:rPr>
        <w:t xml:space="preserve">数据应用配置页面截图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7.5.1 </w:t>
      </w:r>
      <w:r>
        <w:rPr>
          <w:rStyle w:val="VerbatimChar"/>
          <w:rFonts w:hint="eastAsia"/>
        </w:rPr>
        <w:t xml:space="preserve">应用中心首页与数据应用配置实现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“数据应用配置页面如图7-16所示。”</w:t>
      </w:r>
    </w:p>
    <w:bookmarkEnd w:id="30"/>
    <w:bookmarkStart w:id="31" w:name="图7-17-流程设计器页面截图"/>
    <w:p>
      <w:pPr>
        <w:pStyle w:val="Heading3"/>
      </w:pPr>
      <w:r>
        <w:rPr>
          <w:rFonts w:hint="eastAsia"/>
        </w:rPr>
        <w:t xml:space="preserve">图7-17</w:t>
      </w:r>
      <w:r>
        <w:t xml:space="preserve"> </w:t>
      </w:r>
      <w:r>
        <w:rPr>
          <w:rFonts w:hint="eastAsia"/>
        </w:rPr>
        <w:t xml:space="preserve">流程设计器页面截图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7.5.2 </w:t>
      </w:r>
      <w:r>
        <w:rPr>
          <w:rStyle w:val="VerbatimChar"/>
          <w:rFonts w:hint="eastAsia"/>
        </w:rPr>
        <w:t xml:space="preserve">流程设计与审批中心实现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“流程设计器页面如图7-17所示。”</w:t>
      </w:r>
    </w:p>
    <w:bookmarkEnd w:id="31"/>
    <w:bookmarkStart w:id="32" w:name="图7-18-审批中心页面截图"/>
    <w:p>
      <w:pPr>
        <w:pStyle w:val="Heading3"/>
      </w:pPr>
      <w:r>
        <w:rPr>
          <w:rFonts w:hint="eastAsia"/>
        </w:rPr>
        <w:t xml:space="preserve">图7-18</w:t>
      </w:r>
      <w:r>
        <w:t xml:space="preserve"> </w:t>
      </w:r>
      <w:r>
        <w:rPr>
          <w:rFonts w:hint="eastAsia"/>
        </w:rPr>
        <w:t xml:space="preserve">审批中心页面截图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7.5.2 </w:t>
      </w:r>
      <w:r>
        <w:rPr>
          <w:rStyle w:val="VerbatimChar"/>
          <w:rFonts w:hint="eastAsia"/>
        </w:rPr>
        <w:t xml:space="preserve">流程设计与审批中心实现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“审批中心页面如图7-18所示。”</w:t>
      </w:r>
    </w:p>
    <w:bookmarkEnd w:id="32"/>
    <w:bookmarkStart w:id="33" w:name="图7-19-本体关系工作台总览截图"/>
    <w:p>
      <w:pPr>
        <w:pStyle w:val="Heading3"/>
      </w:pPr>
      <w:r>
        <w:rPr>
          <w:rFonts w:hint="eastAsia"/>
        </w:rPr>
        <w:t xml:space="preserve">图7-19</w:t>
      </w:r>
      <w:r>
        <w:t xml:space="preserve"> </w:t>
      </w:r>
      <w:r>
        <w:rPr>
          <w:rFonts w:hint="eastAsia"/>
        </w:rPr>
        <w:t xml:space="preserve">本体关系工作台总览截图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7.5.3 </w:t>
      </w:r>
      <w:r>
        <w:rPr>
          <w:rStyle w:val="VerbatimChar"/>
          <w:rFonts w:hint="eastAsia"/>
        </w:rPr>
        <w:t xml:space="preserve">本体关系工作台实现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“本体关系工作台总览界面如图7-19所示。”</w:t>
      </w:r>
    </w:p>
    <w:bookmarkEnd w:id="33"/>
    <w:bookmarkStart w:id="34" w:name="图7-20-列级语义展示截图"/>
    <w:p>
      <w:pPr>
        <w:pStyle w:val="Heading3"/>
      </w:pPr>
      <w:r>
        <w:rPr>
          <w:rFonts w:hint="eastAsia"/>
        </w:rPr>
        <w:t xml:space="preserve">图7-20</w:t>
      </w:r>
      <w:r>
        <w:t xml:space="preserve"> </w:t>
      </w:r>
      <w:r>
        <w:rPr>
          <w:rFonts w:hint="eastAsia"/>
        </w:rPr>
        <w:t xml:space="preserve">列级语义展示截图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7.5.3 </w:t>
      </w:r>
      <w:r>
        <w:rPr>
          <w:rStyle w:val="VerbatimChar"/>
          <w:rFonts w:hint="eastAsia"/>
        </w:rPr>
        <w:t xml:space="preserve">本体关系工作台实现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“列级语义展示界面如图7-20所示。”</w:t>
      </w:r>
    </w:p>
    <w:bookmarkEnd w:id="34"/>
    <w:bookmarkStart w:id="35" w:name="图7-21-移动端首页截图"/>
    <w:p>
      <w:pPr>
        <w:pStyle w:val="Heading3"/>
      </w:pPr>
      <w:r>
        <w:rPr>
          <w:rFonts w:hint="eastAsia"/>
        </w:rPr>
        <w:t xml:space="preserve">图7-21</w:t>
      </w:r>
      <w:r>
        <w:t xml:space="preserve"> </w:t>
      </w:r>
      <w:r>
        <w:rPr>
          <w:rFonts w:hint="eastAsia"/>
        </w:rPr>
        <w:t xml:space="preserve">移动端首页截图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7.6.1 </w:t>
      </w:r>
      <w:r>
        <w:rPr>
          <w:rStyle w:val="VerbatimChar"/>
          <w:rFonts w:hint="eastAsia"/>
        </w:rPr>
        <w:t xml:space="preserve">移动端主页与仓库查询实现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“移动端首页如图7-21所示。”</w:t>
      </w:r>
    </w:p>
    <w:bookmarkEnd w:id="35"/>
    <w:bookmarkStart w:id="36" w:name="图7-22-仓库查询页面截图"/>
    <w:p>
      <w:pPr>
        <w:pStyle w:val="Heading3"/>
      </w:pPr>
      <w:r>
        <w:rPr>
          <w:rFonts w:hint="eastAsia"/>
        </w:rPr>
        <w:t xml:space="preserve">图7-22</w:t>
      </w:r>
      <w:r>
        <w:t xml:space="preserve"> </w:t>
      </w:r>
      <w:r>
        <w:rPr>
          <w:rFonts w:hint="eastAsia"/>
        </w:rPr>
        <w:t xml:space="preserve">仓库查询页面截图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7.6.1 </w:t>
      </w:r>
      <w:r>
        <w:rPr>
          <w:rStyle w:val="VerbatimChar"/>
          <w:rFonts w:hint="eastAsia"/>
        </w:rPr>
        <w:t xml:space="preserve">移动端主页与仓库查询实现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“仓库查询页面如图7-22所示。”</w:t>
      </w:r>
    </w:p>
    <w:bookmarkEnd w:id="36"/>
    <w:bookmarkStart w:id="37" w:name="图7-23-移动端盘点页面截图"/>
    <w:p>
      <w:pPr>
        <w:pStyle w:val="Heading3"/>
      </w:pPr>
      <w:r>
        <w:rPr>
          <w:rFonts w:hint="eastAsia"/>
        </w:rPr>
        <w:t xml:space="preserve">图7-23</w:t>
      </w:r>
      <w:r>
        <w:t xml:space="preserve"> </w:t>
      </w:r>
      <w:r>
        <w:rPr>
          <w:rFonts w:hint="eastAsia"/>
        </w:rPr>
        <w:t xml:space="preserve">移动端盘点页面截图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7.6.2 </w:t>
      </w:r>
      <w:r>
        <w:rPr>
          <w:rStyle w:val="VerbatimChar"/>
          <w:rFonts w:hint="eastAsia"/>
        </w:rPr>
        <w:t xml:space="preserve">盘点、扫码与标签打印实现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“移动端盘点页面如图7-23所示。”</w:t>
      </w:r>
    </w:p>
    <w:bookmarkEnd w:id="37"/>
    <w:bookmarkStart w:id="38" w:name="图7-24-移动端扫码页面截图"/>
    <w:p>
      <w:pPr>
        <w:pStyle w:val="Heading3"/>
      </w:pPr>
      <w:r>
        <w:rPr>
          <w:rFonts w:hint="eastAsia"/>
        </w:rPr>
        <w:t xml:space="preserve">图7-24</w:t>
      </w:r>
      <w:r>
        <w:t xml:space="preserve"> </w:t>
      </w:r>
      <w:r>
        <w:rPr>
          <w:rFonts w:hint="eastAsia"/>
        </w:rPr>
        <w:t xml:space="preserve">移动端扫码页面截图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7.6.2 </w:t>
      </w:r>
      <w:r>
        <w:rPr>
          <w:rStyle w:val="VerbatimChar"/>
          <w:rFonts w:hint="eastAsia"/>
        </w:rPr>
        <w:t xml:space="preserve">盘点、扫码与标签打印实现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“移动端扫码页面如图7-24所示。”</w:t>
      </w:r>
    </w:p>
    <w:bookmarkEnd w:id="38"/>
    <w:bookmarkStart w:id="39" w:name="图7-25-标签打印页面截图"/>
    <w:p>
      <w:pPr>
        <w:pStyle w:val="Heading3"/>
      </w:pPr>
      <w:r>
        <w:rPr>
          <w:rFonts w:hint="eastAsia"/>
        </w:rPr>
        <w:t xml:space="preserve">图7-25</w:t>
      </w:r>
      <w:r>
        <w:t xml:space="preserve"> </w:t>
      </w:r>
      <w:r>
        <w:rPr>
          <w:rFonts w:hint="eastAsia"/>
        </w:rPr>
        <w:t xml:space="preserve">标签打印页面截图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7.6.2 </w:t>
      </w:r>
      <w:r>
        <w:rPr>
          <w:rStyle w:val="VerbatimChar"/>
          <w:rFonts w:hint="eastAsia"/>
        </w:rPr>
        <w:t xml:space="preserve">盘点、扫码与标签打印实现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“标签打印页面如图7-25所示。”</w:t>
      </w:r>
    </w:p>
    <w:bookmarkEnd w:id="39"/>
    <w:bookmarkStart w:id="40" w:name="图7-26-数据库管理界面截图"/>
    <w:p>
      <w:pPr>
        <w:pStyle w:val="Heading3"/>
      </w:pPr>
      <w:r>
        <w:rPr>
          <w:rFonts w:hint="eastAsia"/>
        </w:rPr>
        <w:t xml:space="preserve">图7-26</w:t>
      </w:r>
      <w:r>
        <w:t xml:space="preserve"> </w:t>
      </w:r>
      <w:r>
        <w:rPr>
          <w:rFonts w:hint="eastAsia"/>
        </w:rPr>
        <w:t xml:space="preserve">数据库管理界面截图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对应小节：</w:t>
      </w:r>
      <w:r>
        <w:rPr>
          <w:rStyle w:val="VerbatimChar"/>
        </w:rPr>
        <w:t xml:space="preserve">7.7 </w:t>
      </w:r>
      <w:r>
        <w:rPr>
          <w:rStyle w:val="VerbatimChar"/>
          <w:rFonts w:hint="eastAsia"/>
        </w:rPr>
        <w:t xml:space="preserve">数据库中心架构实现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建议前置引用句：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“数据库管理界面如图7-26所示。”</w:t>
      </w:r>
    </w:p>
    <w:bookmarkEnd w:id="40"/>
    <w:bookmarkEnd w:id="41"/>
    <w:bookmarkStart w:id="42" w:name="四优先顺序建议"/>
    <w:p>
      <w:pPr>
        <w:pStyle w:val="Heading2"/>
      </w:pPr>
      <w:r>
        <w:rPr>
          <w:rFonts w:hint="eastAsia"/>
        </w:rPr>
        <w:t xml:space="preserve">四、优先顺序建议</w:t>
      </w:r>
    </w:p>
    <w:p>
      <w:pPr>
        <w:pStyle w:val="FirstParagraph"/>
      </w:pPr>
      <w:r>
        <w:rPr>
          <w:rFonts w:hint="eastAsia"/>
        </w:rPr>
        <w:t xml:space="preserve">如果时间有限，优先插入以下图片：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图4-1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图4-2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图4-3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图3-2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图3-8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图7-1、图7-7、图7-9、图7-11、图7-15、图7-17、图7-19、图7-21、图7-23、图7-26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2026-03-24T17:45:22Z</dcterms:created>
  <dcterms:modified xsi:type="dcterms:W3CDTF">2026-03-24T17:45:22Z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