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论文插图完成勾选清单"/>
    <w:p>
      <w:pPr>
        <w:pStyle w:val="Heading1"/>
      </w:pPr>
      <w:r>
        <w:rPr>
          <w:rFonts w:hint="eastAsia"/>
        </w:rPr>
        <w:t xml:space="preserve">论文插图完成勾选清单</w:t>
      </w:r>
    </w:p>
    <w:p>
      <w:pPr>
        <w:pStyle w:val="FirstParagraph"/>
      </w:pPr>
      <w:r>
        <w:rPr>
          <w:rFonts w:hint="eastAsia"/>
        </w:rPr>
        <w:t xml:space="preserve">适用主稿：</w:t>
      </w:r>
      <w:r>
        <w:rPr>
          <w:rStyle w:val="VerbatimChar"/>
          <w:rFonts w:hint="eastAsia"/>
        </w:rPr>
        <w:t xml:space="preserve">毕业论文初稿v2.6_整合定稿版_2026-03-25.docx</w:t>
      </w:r>
      <w:r>
        <w:br/>
      </w:r>
      <w:r>
        <w:rPr>
          <w:rFonts w:hint="eastAsia"/>
        </w:rPr>
        <w:t xml:space="preserve">整理日期：2026-03-25</w:t>
      </w:r>
    </w:p>
    <w:bookmarkStart w:id="9" w:name="使用说明"/>
    <w:p>
      <w:pPr>
        <w:pStyle w:val="Heading2"/>
      </w:pPr>
      <w:r>
        <w:rPr>
          <w:rFonts w:hint="eastAsia"/>
        </w:rPr>
        <w:t xml:space="preserve">使用说明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每插入一张图后，在对应项前自行打勾。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插图后请同步检查：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图题是否正确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图号是否连续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正文是否已明确引用“如图x-x所示”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图是否紧跟在第一次引用它的段落之后</w:t>
      </w:r>
    </w:p>
    <w:bookmarkEnd w:id="9"/>
    <w:bookmarkStart w:id="10" w:name="第一章"/>
    <w:p>
      <w:pPr>
        <w:pStyle w:val="Heading2"/>
      </w:pPr>
      <w:r>
        <w:rPr>
          <w:rFonts w:hint="eastAsia"/>
        </w:rPr>
        <w:t xml:space="preserve">第一章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论文研究思路与技术路线图</w:t>
      </w:r>
    </w:p>
    <w:bookmarkEnd w:id="10"/>
    <w:bookmarkStart w:id="11" w:name="第三章"/>
    <w:p>
      <w:pPr>
        <w:pStyle w:val="Heading2"/>
      </w:pPr>
      <w:r>
        <w:rPr>
          <w:rFonts w:hint="eastAsia"/>
        </w:rPr>
        <w:t xml:space="preserve">第三章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图3-1</w:t>
      </w:r>
      <w:r>
        <w:t xml:space="preserve"> </w:t>
      </w:r>
      <w:r>
        <w:rPr>
          <w:rFonts w:hint="eastAsia"/>
        </w:rPr>
        <w:t xml:space="preserve">南派食品现有产销协同业务流程图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图3-2</w:t>
      </w:r>
      <w:r>
        <w:t xml:space="preserve"> </w:t>
      </w:r>
      <w:r>
        <w:rPr>
          <w:rFonts w:hint="eastAsia"/>
        </w:rPr>
        <w:t xml:space="preserve">销售计划与采购用例图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图3-3</w:t>
      </w:r>
      <w:r>
        <w:t xml:space="preserve"> </w:t>
      </w:r>
      <w:r>
        <w:rPr>
          <w:rFonts w:hint="eastAsia"/>
        </w:rPr>
        <w:t xml:space="preserve">仓储与库存作业用例图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图3-4</w:t>
      </w:r>
      <w:r>
        <w:t xml:space="preserve"> </w:t>
      </w:r>
      <w:r>
        <w:rPr>
          <w:rFonts w:hint="eastAsia"/>
        </w:rPr>
        <w:t xml:space="preserve">质量检验与审批用例图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图3-5</w:t>
      </w:r>
      <w:r>
        <w:t xml:space="preserve"> </w:t>
      </w:r>
      <w:r>
        <w:rPr>
          <w:rFonts w:hint="eastAsia"/>
        </w:rPr>
        <w:t xml:space="preserve">追溯与经营管理用例图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图3-6</w:t>
      </w:r>
      <w:r>
        <w:t xml:space="preserve"> </w:t>
      </w:r>
      <w:r>
        <w:rPr>
          <w:rFonts w:hint="eastAsia"/>
        </w:rPr>
        <w:t xml:space="preserve">EISCore总体功能结构图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图3-7</w:t>
      </w:r>
      <w:r>
        <w:t xml:space="preserve"> </w:t>
      </w:r>
      <w:r>
        <w:rPr>
          <w:rFonts w:hint="eastAsia"/>
        </w:rPr>
        <w:t xml:space="preserve">采购入库与来料检验活动图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图3-8</w:t>
      </w:r>
      <w:r>
        <w:t xml:space="preserve"> </w:t>
      </w:r>
      <w:r>
        <w:rPr>
          <w:rFonts w:hint="eastAsia"/>
        </w:rPr>
        <w:t xml:space="preserve">生产领料与补料活动图</w:t>
      </w:r>
    </w:p>
    <w:bookmarkEnd w:id="11"/>
    <w:bookmarkStart w:id="12" w:name="第四章"/>
    <w:p>
      <w:pPr>
        <w:pStyle w:val="Heading2"/>
      </w:pPr>
      <w:r>
        <w:rPr>
          <w:rFonts w:hint="eastAsia"/>
        </w:rPr>
        <w:t xml:space="preserve">第四章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图4-1</w:t>
      </w:r>
      <w:r>
        <w:t xml:space="preserve"> </w:t>
      </w:r>
      <w:r>
        <w:rPr>
          <w:rFonts w:hint="eastAsia"/>
        </w:rPr>
        <w:t xml:space="preserve">EISCore系统总体架构图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图4-2</w:t>
      </w:r>
      <w:r>
        <w:t xml:space="preserve"> </w:t>
      </w:r>
      <w:r>
        <w:rPr>
          <w:rFonts w:hint="eastAsia"/>
        </w:rPr>
        <w:t xml:space="preserve">EISCore功能模块划分图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图4-3</w:t>
      </w:r>
      <w:r>
        <w:t xml:space="preserve"> </w:t>
      </w:r>
      <w:r>
        <w:rPr>
          <w:rFonts w:hint="eastAsia"/>
        </w:rPr>
        <w:t xml:space="preserve">EISCore技术组织关系图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图4-4</w:t>
      </w:r>
      <w:r>
        <w:t xml:space="preserve"> </w:t>
      </w:r>
      <w:r>
        <w:rPr>
          <w:rFonts w:hint="eastAsia"/>
        </w:rPr>
        <w:t xml:space="preserve">闪念应用智能体与轻量语义联动图</w:t>
      </w:r>
    </w:p>
    <w:bookmarkEnd w:id="12"/>
    <w:bookmarkStart w:id="13" w:name="第五章"/>
    <w:p>
      <w:pPr>
        <w:pStyle w:val="Heading2"/>
      </w:pPr>
      <w:r>
        <w:rPr>
          <w:rFonts w:hint="eastAsia"/>
        </w:rPr>
        <w:t xml:space="preserve">第五章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图5-1</w:t>
      </w:r>
      <w:r>
        <w:t xml:space="preserve"> </w:t>
      </w:r>
      <w:r>
        <w:rPr>
          <w:rFonts w:hint="eastAsia"/>
        </w:rPr>
        <w:t xml:space="preserve">EISCore核心数据实体关系图</w:t>
      </w:r>
    </w:p>
    <w:bookmarkEnd w:id="13"/>
    <w:bookmarkStart w:id="14" w:name="第六章"/>
    <w:p>
      <w:pPr>
        <w:pStyle w:val="Heading2"/>
      </w:pPr>
      <w:r>
        <w:rPr>
          <w:rFonts w:hint="eastAsia"/>
        </w:rPr>
        <w:t xml:space="preserve">第六章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图6-1</w:t>
      </w:r>
      <w:r>
        <w:t xml:space="preserve"> </w:t>
      </w:r>
      <w:r>
        <w:rPr>
          <w:rFonts w:hint="eastAsia"/>
        </w:rPr>
        <w:t xml:space="preserve">库存入库时序图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图6-2</w:t>
      </w:r>
      <w:r>
        <w:t xml:space="preserve"> </w:t>
      </w:r>
      <w:r>
        <w:rPr>
          <w:rFonts w:hint="eastAsia"/>
        </w:rPr>
        <w:t xml:space="preserve">库存出库时序图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图6-3</w:t>
      </w:r>
      <w:r>
        <w:t xml:space="preserve"> </w:t>
      </w:r>
      <w:r>
        <w:rPr>
          <w:rFonts w:hint="eastAsia"/>
        </w:rPr>
        <w:t xml:space="preserve">流程启动与状态写回时序图</w:t>
      </w:r>
    </w:p>
    <w:bookmarkEnd w:id="14"/>
    <w:bookmarkStart w:id="15" w:name="第七章"/>
    <w:p>
      <w:pPr>
        <w:pStyle w:val="Heading2"/>
      </w:pPr>
      <w:r>
        <w:rPr>
          <w:rFonts w:hint="eastAsia"/>
        </w:rPr>
        <w:t xml:space="preserve">第七章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图7-1</w:t>
      </w:r>
      <w:r>
        <w:t xml:space="preserve"> </w:t>
      </w:r>
      <w:r>
        <w:rPr>
          <w:rFonts w:hint="eastAsia"/>
        </w:rPr>
        <w:t xml:space="preserve">系统基座首页截图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图7-2</w:t>
      </w:r>
      <w:r>
        <w:t xml:space="preserve"> </w:t>
      </w:r>
      <w:r>
        <w:rPr>
          <w:rFonts w:hint="eastAsia"/>
        </w:rPr>
        <w:t xml:space="preserve">微前端子应用入口截图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图7-3</w:t>
      </w:r>
      <w:r>
        <w:t xml:space="preserve"> </w:t>
      </w:r>
      <w:r>
        <w:rPr>
          <w:rFonts w:hint="eastAsia"/>
        </w:rPr>
        <w:t xml:space="preserve">员工档案管理页面截图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图7-4</w:t>
      </w:r>
      <w:r>
        <w:t xml:space="preserve"> </w:t>
      </w:r>
      <w:r>
        <w:rPr>
          <w:rFonts w:hint="eastAsia"/>
        </w:rPr>
        <w:t xml:space="preserve">组织结构页面截图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图7-5</w:t>
      </w:r>
      <w:r>
        <w:t xml:space="preserve"> </w:t>
      </w:r>
      <w:r>
        <w:rPr>
          <w:rFonts w:hint="eastAsia"/>
        </w:rPr>
        <w:t xml:space="preserve">用户管理页面截图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图7-6</w:t>
      </w:r>
      <w:r>
        <w:t xml:space="preserve"> </w:t>
      </w:r>
      <w:r>
        <w:rPr>
          <w:rFonts w:hint="eastAsia"/>
        </w:rPr>
        <w:t xml:space="preserve">考勤页面截图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图7-7</w:t>
      </w:r>
      <w:r>
        <w:t xml:space="preserve"> </w:t>
      </w:r>
      <w:r>
        <w:rPr>
          <w:rFonts w:hint="eastAsia"/>
        </w:rPr>
        <w:t xml:space="preserve">物料管理页面截图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图7-8</w:t>
      </w:r>
      <w:r>
        <w:t xml:space="preserve"> </w:t>
      </w:r>
      <w:r>
        <w:rPr>
          <w:rFonts w:hint="eastAsia"/>
        </w:rPr>
        <w:t xml:space="preserve">仓库管理页面截图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图7-9</w:t>
      </w:r>
      <w:r>
        <w:t xml:space="preserve"> </w:t>
      </w:r>
      <w:r>
        <w:rPr>
          <w:rFonts w:hint="eastAsia"/>
        </w:rPr>
        <w:t xml:space="preserve">库存台账页面截图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图7-10</w:t>
      </w:r>
      <w:r>
        <w:t xml:space="preserve"> </w:t>
      </w:r>
      <w:r>
        <w:rPr>
          <w:rFonts w:hint="eastAsia"/>
        </w:rPr>
        <w:t xml:space="preserve">实时库存页面截图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图7-11</w:t>
      </w:r>
      <w:r>
        <w:t xml:space="preserve"> </w:t>
      </w:r>
      <w:r>
        <w:rPr>
          <w:rFonts w:hint="eastAsia"/>
        </w:rPr>
        <w:t xml:space="preserve">入库页面截图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图7-12</w:t>
      </w:r>
      <w:r>
        <w:t xml:space="preserve"> </w:t>
      </w:r>
      <w:r>
        <w:rPr>
          <w:rFonts w:hint="eastAsia"/>
        </w:rPr>
        <w:t xml:space="preserve">出库页面截图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图7-13</w:t>
      </w:r>
      <w:r>
        <w:t xml:space="preserve"> </w:t>
      </w:r>
      <w:r>
        <w:rPr>
          <w:rFonts w:hint="eastAsia"/>
        </w:rPr>
        <w:t xml:space="preserve">盘点总览页面截图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图7-14</w:t>
      </w:r>
      <w:r>
        <w:t xml:space="preserve"> </w:t>
      </w:r>
      <w:r>
        <w:rPr>
          <w:rFonts w:hint="eastAsia"/>
        </w:rPr>
        <w:t xml:space="preserve">批次号规则管理页面截图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图7-15</w:t>
      </w:r>
      <w:r>
        <w:t xml:space="preserve"> </w:t>
      </w:r>
      <w:r>
        <w:rPr>
          <w:rFonts w:hint="eastAsia"/>
        </w:rPr>
        <w:t xml:space="preserve">应用中心首页截图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图7-16</w:t>
      </w:r>
      <w:r>
        <w:t xml:space="preserve"> </w:t>
      </w:r>
      <w:r>
        <w:rPr>
          <w:rFonts w:hint="eastAsia"/>
        </w:rPr>
        <w:t xml:space="preserve">数据应用配置页面截图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图7-17</w:t>
      </w:r>
      <w:r>
        <w:t xml:space="preserve"> </w:t>
      </w:r>
      <w:r>
        <w:rPr>
          <w:rFonts w:hint="eastAsia"/>
        </w:rPr>
        <w:t xml:space="preserve">流程设计器页面截图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图7-18</w:t>
      </w:r>
      <w:r>
        <w:t xml:space="preserve"> </w:t>
      </w:r>
      <w:r>
        <w:rPr>
          <w:rFonts w:hint="eastAsia"/>
        </w:rPr>
        <w:t xml:space="preserve">审批中心页面截图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图7-19</w:t>
      </w:r>
      <w:r>
        <w:t xml:space="preserve"> </w:t>
      </w:r>
      <w:r>
        <w:rPr>
          <w:rFonts w:hint="eastAsia"/>
        </w:rPr>
        <w:t xml:space="preserve">本体关系工作台总览截图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图7-20</w:t>
      </w:r>
      <w:r>
        <w:t xml:space="preserve"> </w:t>
      </w:r>
      <w:r>
        <w:rPr>
          <w:rFonts w:hint="eastAsia"/>
        </w:rPr>
        <w:t xml:space="preserve">列级语义展示截图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图7-21</w:t>
      </w:r>
      <w:r>
        <w:t xml:space="preserve"> </w:t>
      </w:r>
      <w:r>
        <w:rPr>
          <w:rFonts w:hint="eastAsia"/>
        </w:rPr>
        <w:t xml:space="preserve">移动端首页截图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图7-22</w:t>
      </w:r>
      <w:r>
        <w:t xml:space="preserve"> </w:t>
      </w:r>
      <w:r>
        <w:rPr>
          <w:rFonts w:hint="eastAsia"/>
        </w:rPr>
        <w:t xml:space="preserve">仓库查询页面截图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图7-23</w:t>
      </w:r>
      <w:r>
        <w:t xml:space="preserve"> </w:t>
      </w:r>
      <w:r>
        <w:rPr>
          <w:rFonts w:hint="eastAsia"/>
        </w:rPr>
        <w:t xml:space="preserve">移动端盘点页面截图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图7-24</w:t>
      </w:r>
      <w:r>
        <w:t xml:space="preserve"> </w:t>
      </w:r>
      <w:r>
        <w:rPr>
          <w:rFonts w:hint="eastAsia"/>
        </w:rPr>
        <w:t xml:space="preserve">移动端扫码页面截图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图7-25</w:t>
      </w:r>
      <w:r>
        <w:t xml:space="preserve"> </w:t>
      </w:r>
      <w:r>
        <w:rPr>
          <w:rFonts w:hint="eastAsia"/>
        </w:rPr>
        <w:t xml:space="preserve">标签打印页面截图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图7-26</w:t>
      </w:r>
      <w:r>
        <w:t xml:space="preserve"> </w:t>
      </w:r>
      <w:r>
        <w:rPr>
          <w:rFonts w:hint="eastAsia"/>
        </w:rPr>
        <w:t xml:space="preserve">数据库管理界面截图</w:t>
      </w:r>
    </w:p>
    <w:bookmarkEnd w:id="15"/>
    <w:bookmarkStart w:id="16" w:name="额外复核项"/>
    <w:p>
      <w:pPr>
        <w:pStyle w:val="Heading2"/>
      </w:pPr>
      <w:r>
        <w:rPr>
          <w:rFonts w:hint="eastAsia"/>
        </w:rPr>
        <w:t xml:space="preserve">额外复核项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第三章图号与正文引用一致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第四章图号与正文引用一致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第六章时序图与函数说明对应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第七章截图图号均为“图7-x”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所有图题字体、居中样式一致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目录更新后，插图所在页码无明显错位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2026-03-24T17:49:59Z</dcterms:created>
  <dcterms:modified xsi:type="dcterms:W3CDTF">2026-03-24T17:49:59Z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