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For small and medium-sized manufacturing enterprises in Zhanjiang, the key issue of digitalization is not simply whether a software system is available, but whether orders, inventory, personnel records, workflow states and quality information can be connected into one usable data chain. Guangdong Nanpai Food Co., Ltd., which provides the business background of this study, reflects several typical problems in this kind of environment: raw materials circulate in multiple batches, material attributes vary from batch to batch, process changes are frequent, and many records still depend on manual transfer. Under these conditions, information becomes fragmented, traceability weakens, permission boundaries are blurred, and collaboration efficiency declines. Large ERP systems are often too heavy and costly for this scenario, while lightweight tools are easier to adopt but usually weaker in customization and later extension. This is the practical setting in which a lighter and more maintainable system core is needed.</w:t>
      </w:r>
    </w:p>
    <w:p w14:paraId="2AAD8DC0" w14:textId="77777777" w:rsidR="002E6073" w:rsidRDefault="00A32A72">
      <w:r>
        <w:t>To respond to these problems, this thesis designs and implements EISCore as a lightweight enterprise information system core for small and medium-sized manufacturing enterprises. The system uses a database-centric structure in which PostgreSQL carries the core data model together with part of the business constraints, while PostgREST provides interface exposure and reduces repetitive backend API work. On the frontend side, Vue 3 and qiankun are used to organize a unified entry with coordinated modules such as human resource management, material management, the application center and mobile services. Within the current implementation scope, the project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divided into nine chapters. Chapter 1 explains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design of the system, while Chapter 5 explains the database structure together with the semantic enhancement design. Chapter 6 further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五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压缩常规接口层。第三，在前端以微前端方式组织基座、人事、物料、应用中心和移动端，使模块边界更清晰。第四，引入 BPMN 2.0 流程建模，用于支撑审批和状态写回。第五，在平台层补入轻量化语义机制，增强表、字段和关系结构的可解释性。</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等工具。它们分别服务于统计图展示、页面导出、配置编辑以及文本与文档处理场景，虽然不属于论文研究主线，但在系统实际落地过程中承担了必要支撑角色。</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运行环境，为应用中心中的辅助开发和草稿生成提供空间。这部分内容属于工程环境说明，但对于交代系统的实际运行链路是必要的。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它的价值不在于追求复杂推理，而在于为流程、权限和动态配置提供一致的表达基础。</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